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HZvG 2002 — Vermögensübertragung</w:t>
      </w:r>
    </w:p>
    <w:p>
      <w:r>
        <w:rPr>
          <w:color w:val="555555"/>
          <w:sz w:val="18"/>
        </w:rPr>
        <w:t xml:space="preserve">Hüttenknappschaftliches Zusatzversicherungs-Gesetz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Vermögen der Hüttenknappschaftlichen Zusatzversicherung wird innerhalb eines Monats nach Inkrafttreten dieser Vorschrift auf den Bund übertragen.</w:t>
      </w:r>
    </w:p>
    <w:p>
      <w:r>
        <w:rPr>
          <w:color w:val="555555"/>
          <w:sz w:val="17"/>
        </w:rPr>
        <w:t xml:space="preserve">Zitiervorschlag: § 31 HZvG 2002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https://recht.nulegal.eu/gesetze/HZvG%202002/31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