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HZvG 2002 — Übertragung von Anwartschaften</w:t>
      </w:r>
    </w:p>
    <w:p>
      <w:r>
        <w:rPr>
          <w:color w:val="555555"/>
          <w:sz w:val="18"/>
        </w:rPr>
        <w:t xml:space="preserve">Hüttenknappschaftliches Zusatzversicherungs-Gesetz</w:t>
      </w:r>
    </w:p>
    <w:p>
      <w:r>
        <w:rPr>
          <w:color w:val="555555"/>
          <w:sz w:val="18"/>
        </w:rPr>
        <w:t xml:space="preserve">Stand: 10.06.2019 (konsolidierte Textfassung, kein amtliches Inkrafttretensdatum)</w:t>
      </w:r>
    </w:p>
    <w:p>
      <w:r>
        <w:t xml:space="preserve">(1) Anwartschaften eines Versicherten, für den die Hüttenknappschaftliche Zusatzversicherung nicht im Umlageverfahren weiterzuführen ist und der vor dem 1. Januar 2003 die besondere Wartezeit von fünf Jahren in der Hüttenknappschaftlichen Zusatzversicherung nicht erfüllt hat, werden in die kapitalgedeckte Hüttenknappschaftliche Zusatzversicherung übertragen, sofern der Versicherte nach dem 31. Dezember 2002 entweder in einem Arbeitsverhältnis steht, das Versicherungspflicht in der Hüttenknappschaftlichen Zusatzversicherung begründet, oder freiwillige Beiträge zur Hüttenknappschaftlichen Zusatzversicherung wirksam entrichtet.</w:t>
      </w:r>
    </w:p>
    <w:p>
      <w:r>
        <w:t xml:space="preserve">(2) Hat der Versicherte eine Geldleistung aus der Versicherung in Anspruch genommen, werden nur die später gezahlten Beiträge übertragen. Mit der Übertragung sind sämtliche Rechtsansprüche aus der umlagefinanzierten Hüttenknappschaftlichen Zusatzversicherung abgegolten.</w:t>
      </w:r>
    </w:p>
    <w:p>
      <w:r>
        <w:rPr>
          <w:color w:val="555555"/>
          <w:sz w:val="17"/>
        </w:rPr>
        <w:t xml:space="preserve">Zitiervorschlag: § 28 HZvG 2002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https://recht.nulegal.eu/gesetze/HZvG%202002/28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