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HZvG 2002 — Zusammentreffen von Zusatzrenten und von Einkommen</w:t>
      </w:r>
    </w:p>
    <w:p>
      <w:r>
        <w:rPr>
          <w:color w:val="555555"/>
          <w:sz w:val="18"/>
        </w:rPr>
        <w:t xml:space="preserve">Hüttenknappschaftliches Zusatzversicherungs-Gesetz</w:t>
      </w:r>
    </w:p>
    <w:p>
      <w:r>
        <w:rPr>
          <w:color w:val="555555"/>
          <w:sz w:val="18"/>
        </w:rPr>
        <w:t xml:space="preserve">Stand: 10.06.2019 (konsolidierte Textfassung, kein amtliches Inkrafttretensdatum)</w:t>
      </w:r>
    </w:p>
    <w:p>
      <w:r>
        <w:t xml:space="preserve">(1) Die Zusatzrente wird neben einer entsprechenden Rente aus der Unfallversicherung ungekürzt gezahlt.</w:t>
      </w:r>
    </w:p>
    <w:p>
      <w:r>
        <w:t xml:space="preserve">(2) Wird eine Altersrente aus der gesetzlichen Rentenversicherung als Teilrente gezahlt, wird die Zusatzrente ebenfalls als Teilrente geleistet, und zwar im Verhältnis der monatlichen Teilrente zur monatlichen Vollrente in der gesetzlichen Rentenversicherung. Eine laufende Zusatzrente wegen Alters, die vor dem 1. Juli 2017 gezahlt wurde, wird nur dann neu berechnet, wenn sich wegen einer Einkommensänderung der Zahlbetrag der Rente der gesetzlichen Rentenversicherung geändert hat. Die Sätze 1 und 2 gelten entsprechend für eine Zusatzrente wegen verminderter Erwerbsfähigkeit.</w:t>
      </w:r>
    </w:p>
    <w:p>
      <w:r>
        <w:t xml:space="preserve">(3) Im Übrigen gelten die Vorschriften des Sechsten Buches Sozialgesetzbuch über das Zusammentreffen von Renten und von Einkommen entsprechend mit der Maßgabe, dass die Einkommensanrechnung auf Renten aus der gesetzlichen Rentenversicherung Vorrang hat vor der Einkommensanrechnung auf eine entsprechende Zusatzrente. Das auf eine Zusatzrente anrechenbare Einkommen mindert sich um den Betrag, der bereits zu einer Einkommensanrechnung auf eine vorrangige Rente geführt hat.</w:t>
      </w:r>
    </w:p>
    <w:p>
      <w:r>
        <w:rPr>
          <w:color w:val="555555"/>
          <w:sz w:val="17"/>
        </w:rPr>
        <w:t xml:space="preserve">Zitiervorschlag: § 23 HZvG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https://recht.nulegal.eu/gesetze/HZvG%202002/23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