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HZvG 2002 — Zusatzrentenberechnung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Monatsbetrag der Zusatzrente ergibt sich, wenn</w:t>
      </w:r>
    </w:p>
    <w:p>
      <w:pPr>
        <w:ind w:left="420"/>
      </w:pPr>
      <w:r>
        <w:t xml:space="preserve">1. die unter Berücksichtigung des Zugangsfaktors ermittelten persönlichen Entgeltpunkte in der Hüttenknappschaftlichen Zusatzversicherung,</w:t>
      </w:r>
    </w:p>
    <w:p>
      <w:pPr>
        <w:ind w:left="420"/>
      </w:pPr>
      <w:r>
        <w:t xml:space="preserve">2. der für Zusatzrenten maßgebende Rentenartfaktor und</w:t>
      </w:r>
    </w:p>
    <w:p>
      <w:pPr>
        <w:ind w:left="420"/>
      </w:pPr>
      <w:r>
        <w:t xml:space="preserve">3. der aktuelle Rentenwert</w:t>
      </w:r>
    </w:p>
    <w:p>
      <w:r>
        <w:t xml:space="preserve">mit ihrem Wert bei Rentenbeginn miteinander vervielfältigt werden.</w:t>
      </w:r>
    </w:p>
    <w:p>
      <w:r>
        <w:t xml:space="preserve">(2) Der Ermittlung der Entgeltpunkte sind die in der Hüttenknappschaftlichen Zusatzversicherung versicherten Arbeitsentgelte zugrunde zu legen.</w:t>
      </w:r>
    </w:p>
    <w:p>
      <w:r>
        <w:t xml:space="preserve">(3) Der Rentenartfaktor beträgt für persönliche Entgeltpunkte bei</w:t>
      </w:r>
    </w:p>
    <w:p>
      <w:r>
        <w:rPr>
          <w:rFonts w:ascii="Courier New" w:hAnsi="Courier New"/>
          <w:sz w:val="17"/>
        </w:rPr>
        <w:t xml:space="preserve">1.    Zusatzrenten wegen Alters    0,225,</w:t>
      </w:r>
    </w:p>
    <w:p>
      <w:r>
        <w:rPr>
          <w:rFonts w:ascii="Courier New" w:hAnsi="Courier New"/>
          <w:sz w:val="17"/>
        </w:rPr>
        <w:t xml:space="preserve">2.    Zusatzrenten wegen verminderter Erwerbsfähigkeit    0,225,</w:t>
      </w:r>
    </w:p>
    <w:p>
      <w:r>
        <w:rPr>
          <w:rFonts w:ascii="Courier New" w:hAnsi="Courier New"/>
          <w:sz w:val="17"/>
        </w:rPr>
        <w:t xml:space="preserve">3.    Witwen- und Witwerzusatzrenten bis zum Ablauf des dritten Kalendermonats, in dem der Ehegatte verstorben ist,    0,225,</w:t>
      </w:r>
    </w:p>
    <w:p>
      <w:r>
        <w:rPr>
          <w:rFonts w:ascii="Courier New" w:hAnsi="Courier New"/>
          <w:sz w:val="17"/>
        </w:rPr>
        <w:t xml:space="preserve">    anschließend    0,135,</w:t>
      </w:r>
    </w:p>
    <w:p>
      <w:r>
        <w:rPr>
          <w:rFonts w:ascii="Courier New" w:hAnsi="Courier New"/>
          <w:sz w:val="17"/>
        </w:rPr>
        <w:t xml:space="preserve">4.    Halbwaisenzusatzrenten    0,0225,</w:t>
      </w:r>
    </w:p>
    <w:p>
      <w:r>
        <w:rPr>
          <w:rFonts w:ascii="Courier New" w:hAnsi="Courier New"/>
          <w:sz w:val="17"/>
        </w:rPr>
        <w:t xml:space="preserve">5.    Vollwaisenzusatzrenten    0,045.</w:t>
      </w:r>
    </w:p>
    <w:p>
      <w:r>
        <w:t xml:space="preserve">Bei Witwen- und Witwerzusatzrenten an vor dem 1. Juli 1977 geschiedene Ehegatten beträgt der Rentenartfaktor immer 0,135.</w:t>
      </w:r>
    </w:p>
    <w:p>
      <w:r>
        <w:t xml:space="preserve">(4) Bei Ermittlung des Rentenartfaktors für persönliche Entgeltpunkte treten an die Stelle</w:t>
      </w:r>
    </w:p>
    <w:p>
      <w:r>
        <w:rPr>
          <w:rFonts w:ascii="Courier New" w:hAnsi="Courier New"/>
          <w:sz w:val="17"/>
        </w:rPr>
        <w:t xml:space="preserve">der Werte    </w:t>
      </w:r>
    </w:p>
    <w:p>
      <w:r>
        <w:rPr>
          <w:rFonts w:ascii="Courier New" w:hAnsi="Courier New"/>
          <w:sz w:val="17"/>
        </w:rPr>
        <w:t xml:space="preserve">0,225    0,135    0,0225    0,045</w:t>
      </w:r>
    </w:p>
    <w:p>
      <w:r>
        <w:rPr>
          <w:rFonts w:ascii="Courier New" w:hAnsi="Courier New"/>
          <w:sz w:val="17"/>
        </w:rPr>
        <w:t xml:space="preserve">die Werte    bei Beginn der Rente im Jahr</w:t>
      </w:r>
    </w:p>
    <w:p>
      <w:r>
        <w:rPr>
          <w:rFonts w:ascii="Courier New" w:hAnsi="Courier New"/>
          <w:sz w:val="17"/>
        </w:rPr>
        <w:t xml:space="preserve">0,3    0,18    0,03    0,06    bis 2002</w:t>
      </w:r>
    </w:p>
    <w:p>
      <w:r>
        <w:rPr>
          <w:rFonts w:ascii="Courier New" w:hAnsi="Courier New"/>
          <w:sz w:val="17"/>
        </w:rPr>
        <w:t xml:space="preserve">0,2925    0,1755    0,02925    0,0585    2003</w:t>
      </w:r>
    </w:p>
    <w:p>
      <w:r>
        <w:rPr>
          <w:rFonts w:ascii="Courier New" w:hAnsi="Courier New"/>
          <w:sz w:val="17"/>
        </w:rPr>
        <w:t xml:space="preserve">0,2850    0,1710    0,02850    0,0570    2004</w:t>
      </w:r>
    </w:p>
    <w:p>
      <w:r>
        <w:rPr>
          <w:rFonts w:ascii="Courier New" w:hAnsi="Courier New"/>
          <w:sz w:val="17"/>
        </w:rPr>
        <w:t xml:space="preserve">0,2775    0,1665    0,02775    0,0555    2005</w:t>
      </w:r>
    </w:p>
    <w:p>
      <w:r>
        <w:rPr>
          <w:rFonts w:ascii="Courier New" w:hAnsi="Courier New"/>
          <w:sz w:val="17"/>
        </w:rPr>
        <w:t xml:space="preserve">0,2700    0,1620    0,02700    0,0540    2006</w:t>
      </w:r>
    </w:p>
    <w:p>
      <w:r>
        <w:rPr>
          <w:rFonts w:ascii="Courier New" w:hAnsi="Courier New"/>
          <w:sz w:val="17"/>
        </w:rPr>
        <w:t xml:space="preserve">0,2625    0,1575    0,02625    0,0525    2007</w:t>
      </w:r>
    </w:p>
    <w:p>
      <w:r>
        <w:rPr>
          <w:rFonts w:ascii="Courier New" w:hAnsi="Courier New"/>
          <w:sz w:val="17"/>
        </w:rPr>
        <w:t xml:space="preserve">0,2550    0,1530    0,02550    0,0510    2008</w:t>
      </w:r>
    </w:p>
    <w:p>
      <w:r>
        <w:rPr>
          <w:rFonts w:ascii="Courier New" w:hAnsi="Courier New"/>
          <w:sz w:val="17"/>
        </w:rPr>
        <w:t xml:space="preserve">0,2475    0,1485    0,02475    0,0495    2009</w:t>
      </w:r>
    </w:p>
    <w:p>
      <w:r>
        <w:rPr>
          <w:rFonts w:ascii="Courier New" w:hAnsi="Courier New"/>
          <w:sz w:val="17"/>
        </w:rPr>
        <w:t xml:space="preserve">0,2400    0,1440    0,02400    0,0480    2010</w:t>
      </w:r>
    </w:p>
    <w:p>
      <w:r>
        <w:rPr>
          <w:rFonts w:ascii="Courier New" w:hAnsi="Courier New"/>
          <w:sz w:val="17"/>
        </w:rPr>
        <w:t xml:space="preserve">0,2325    0,1395    0,02325    0,0465    2011</w:t>
      </w:r>
    </w:p>
    <w:p>
      <w:r>
        <w:t xml:space="preserve">(5) Im Übrigen bestimmen sich die nach Absatz 1 für die Rentenberechnung maßgebenden Faktoren nach den Vorschriften des Sechsten Buches Sozialgesetzbuch.</w:t>
      </w:r>
    </w:p>
    <w:p>
      <w:r>
        <w:t xml:space="preserve">(6) Bei Waisenzusatzrenten wird ein Zuschlag nicht gezahlt.</w:t>
      </w:r>
    </w:p>
    <w:p>
      <w:r>
        <w:rPr>
          <w:color w:val="555555"/>
          <w:sz w:val="17"/>
        </w:rPr>
        <w:t xml:space="preserve">Zitiervorschlag: § 20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