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HZvG 2002 — Anwendung anderer Vorschriften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den Vorschriften dieses Gesetzes nichts Abweichendes bestimmt ist, gelten die Regelungen des Gesetzes zur Verbesserung der betrieblichen Altersversorgung entsprechend.</w:t>
      </w:r>
    </w:p>
    <w:p>
      <w:r>
        <w:t xml:space="preserve">(2) Für Beiträge zur kapitalgedeckten Hüttenknappschaftlichen Zusatzversicherung gelten die Vorschriften für die steuerliche Förderung der betrieblichen Altersversorgung nach dem Einkommensteuergesetz.</w:t>
      </w:r>
    </w:p>
    <w:p>
      <w:r>
        <w:rPr>
          <w:color w:val="555555"/>
          <w:sz w:val="17"/>
        </w:rPr>
        <w:t xml:space="preserve">Zitiervorschlag: § 15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