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HZvG 2002 — Freiwillige Weiterversicherung</w:t>
      </w:r>
    </w:p>
    <w:p>
      <w:r>
        <w:rPr>
          <w:color w:val="555555"/>
          <w:sz w:val="18"/>
        </w:rPr>
        <w:t xml:space="preserve">Hüttenknappschaftliches Zusatzversicherungs-Gesetz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Scheidet ein Arbeitnehmer aus der Versicherungspflicht in der Hüttenknappschaftlichen Zusatzversicherung aus, muss dem Arbeitnehmer das Recht zur Fortsetzung der betrieblichen Altersversorgung mit eigenen Beiträgen ermöglicht werden.</w:t>
      </w:r>
    </w:p>
    <w:p>
      <w:r>
        <w:rPr>
          <w:color w:val="555555"/>
          <w:sz w:val="17"/>
        </w:rPr>
        <w:t xml:space="preserve">Zitiervorschlag: § 11 HZvG 2002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https://recht.nulegal.eu/gesetze/HZvG%202002/11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