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HZulStV (Bayern) — Verordnungsermächtigung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Länder bestimmen durch Rechtsverordnungen die Einzelheiten des Verfahrens und der dabei anzuwendenden inhaltlichen Kriterien, insbesondere:</w:t>
      </w:r>
    </w:p>
    <w:p>
      <w:r>
        <w:t xml:space="preserve">1. die Auswahlkriterien (Artikel 8 und 9 sowie Artikel 10 Absatz 1 Satz 1 Nummer 1),</w:t>
      </w:r>
    </w:p>
    <w:p>
      <w:r>
        <w:t xml:space="preserve">2. das Nähere zu Verfahren und Methoden der Herstellung einer annähernden Vergleichbarkeit der Abiturdurchschnittsnoten (Artikel 10 Absatz 1 Satz 3),</w:t>
      </w:r>
    </w:p>
    <w:p>
      <w:r>
        <w:t xml:space="preserve">3. die Quoten nach Artikel 9 Absatz 1, insbesondere auch in Bezug auf den Erlass von Zulassungen, Zulassungsangeboten und Bescheiden in der Quote nach Artikel 9 Absatz 1 Satz 2,</w:t>
      </w:r>
    </w:p>
    <w:p>
      <w:r>
        <w:t xml:space="preserve">4. im Fall des Artikels 2 Absatz 1 Nummer 2 den Ablauf des Bewerbungsverfahrens, insbesondere die Fälle, in denen Bewerbungen an die Stiftung zu richten sind, einschließlich der Fristen; dabei kann die Verpflichtung zur elektronischen Antragstellung und ein elektronischer Bescheidversand vorgesehen werden,</w:t>
      </w:r>
    </w:p>
    <w:p>
      <w:r>
        <w:t xml:space="preserve">5. im Fall des Artikels 2 Absatz 1 Nummer 2 den Ablauf des Vergabeverfahrens sowie die Vergabe nicht in Anspruch genommener oder aus anderen Gründen frei gebliebener Plätze auch an Bewerberinnen und Bewerber, die die Fristen versäumt haben,</w:t>
      </w:r>
    </w:p>
    <w:p>
      <w:r>
        <w:t xml:space="preserve">6. die Vergabe der Studienplätze nach Artikel 8 Absatz 5,</w:t>
      </w:r>
    </w:p>
    <w:p>
      <w:r>
        <w:t xml:space="preserve">7. die Normwerte sowie die Kapazitätsermittlung nach Artikel 6,</w:t>
      </w:r>
    </w:p>
    <w:p>
      <w:r>
        <w:t xml:space="preserve">8. die Festsetzung von Zulassungszahlen nach Artikel 6, soweit das Landesrecht dafür keine andere Rechtsform vorsieht,</w:t>
      </w:r>
    </w:p>
    <w:p>
      <w:r>
        <w:t xml:space="preserve">9. die Gleichstellung weiterer Personen mit Deutschen auf Grund zwischenstaatlicher Vereinbarungen nach Artikel 5 Absatz 2 Satz 3,</w:t>
      </w:r>
    </w:p>
    <w:p>
      <w:r>
        <w:t xml:space="preserve">10. die Einzelheiten zur Durchführung des Dialogorientierten Serviceverfahrens nach Artikel 2 Absatz 2.</w:t>
      </w:r>
    </w:p>
    <w:p>
      <w:r>
        <w:t xml:space="preserve">(2) Die Rechtsverordnungen der Länder nach Absatz 1 müssen übereinstimmen, soweit dies für eine zentrale Vergabe der Studienplätze und für den Abgleich von Mehrfachzulassungsmöglichkeiten und -Studienmöglichkeiten im Dialogorientierten Serviceverfahren notwendig ist.</w:t>
      </w:r>
    </w:p>
    <w:p>
      <w:r>
        <w:rPr>
          <w:color w:val="555555"/>
          <w:sz w:val="17"/>
        </w:rPr>
        <w:t xml:space="preserve">Zitiervorschlag: Art 12 HZulStV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https://recht.nulegal.eu/gesetze/HZulStV/12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