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HZulStV (Bayern) — Verfahrensvorschriften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In den Fällen des Artikels 9 Absatz 1 Satz 1 Nummer 3 und des Artikels 10 Absatz 1 Satz 1 Nummern 2 und 3 werden Zulassungen, Zulassungsangebote und Bescheide von der Hochschule erlassen. Ein Widerspruchsverfahren gegen Bescheide der Hochschulen findet nicht statt.</w:t>
      </w:r>
    </w:p>
    <w:p>
      <w:r>
        <w:t xml:space="preserve">(2) Die Stiftung ermittelt in den Quoten nach Artikel 9 Absatz 1 Satz 1 Nummern 1, 2 und 4, Artikel 10 Absatz 1 Satz 1 Nummer 1 sowie in den Fällen des Artikels 8 Absatz 5 auf Grund der Bewerbungsunterlagen nach den jeweiligen Zulassungsbestimmungen, für welchen Zulassungsantrag eine Zulassung oder ein Zulassungsangebot erfolgen kann und erlässt den Zulassungsbescheid.</w:t>
      </w:r>
    </w:p>
    <w:p>
      <w:r>
        <w:t xml:space="preserve">(3) Soweit an einer Hochschule für den ersten Teil eines Studiengangs eine höhere Ausbildungskapazität als für spätere Teile dieses Studiengangs besteht, wird der Zulassungsbescheid auf den ersten Teil des Studiengangs beschränkt.</w:t>
      </w:r>
    </w:p>
    <w:p>
      <w:r>
        <w:t xml:space="preserve">(4) Die Hochschule ist verpflichtet, die von der Stiftung Zugelassenen einzuschreiben, wenn die übrigen Einschreibvoraussetzungen vorliegen.</w:t>
      </w:r>
    </w:p>
    <w:p>
      <w:r>
        <w:t xml:space="preserve">(5) Ein Widerspruchsverfahren gegen Bescheide der Stiftung findet nicht statt.</w:t>
      </w:r>
    </w:p>
    <w:p>
      <w:r>
        <w:t xml:space="preserve">(6) Beruht der Zulassungsbescheid der Hochschule oder der Stiftung auf falschen Angaben im Zulassungsantrag, wird er zurückgenommen; ist der Zulassungsbescheid sonst fehlerhaft, kann er zurückgenommen werden. Nach Ablauf eines Jahres ist die Rücknahme des Zulassungsbescheides durch die Stiftung ausgeschlossen.</w:t>
      </w:r>
    </w:p>
    <w:p>
      <w:r>
        <w:t xml:space="preserve">(7) Die Stiftung ist nach Maßgabe der Rechtsverordnungen nach Artikel 12 berechtigt, Versicherungen an Eides statt zu verlangen und abzunehmen.</w:t>
      </w:r>
    </w:p>
    <w:p>
      <w:r>
        <w:rPr>
          <w:color w:val="555555"/>
          <w:sz w:val="17"/>
        </w:rPr>
        <w:t xml:space="preserve">Zitiervorschlag: Art 11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