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HZInstrmMAusbV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des § 25 der Handwerksordnung in der Fassung der Bekanntmachung von 28. Dezember 1965 (BGBl. 1966 I S. 1), der zuletzt durch Artikel 1 Nr. 63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