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HZInstrmMAusbV — Übergangsregelung</w:t>
      </w:r>
    </w:p>
    <w:p>
      <w:r>
        <w:rPr>
          <w:color w:val="555555"/>
          <w:sz w:val="18"/>
        </w:rPr>
        <w:t xml:space="preserve">Verordnung über die Berufsausbildung zum Handzuginstrumentenmacher/zur Handzuginstrumentenmacherin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Berufsausbildungsverhältnisse, die bei Inkrafttreten dieser Verordnung bestehen, sind die bisherigen Vorschriften weiter anzuwenden, es sei denn, die Vertragsparteien vereinbaren die Anwendung der Vorschriften dieser Verordnung.</w:t>
      </w:r>
    </w:p>
    <w:p>
      <w:r>
        <w:rPr>
          <w:color w:val="555555"/>
          <w:sz w:val="17"/>
        </w:rPr>
        <w:t xml:space="preserve">Zitiervorschlag: § 11 HZInstrmMAusbV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https://recht.nulegal.eu/gesetze/HZInstrmMAusbV/11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