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HZAZustV 2022 — Hauptzollamt Stuttgart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19.02.2022 bis 02.07.2026. Dies ist nicht die aktuelle Fassung.</w:t>
      </w:r>
    </w:p>
    <w:p>
      <w:r>
        <w:t xml:space="preserve">Dem Hauptzollamt Stuttgart werden die Zuständigkeiten übertragen für</w:t>
      </w:r>
    </w:p>
    <w:p>
      <w:pPr>
        <w:ind w:left="420"/>
      </w:pPr>
      <w:r>
        <w:t xml:space="preserve">1. die Bewilligung des laufenden Zahlungsaufschubs der Hauptzollämter Darmstadt, Heilbronn, Karlsruhe, Koblenz, Lörrach, Saarbrücken, Singen und Ulm,</w:t>
      </w:r>
    </w:p>
    <w:p>
      <w:pPr>
        <w:ind w:left="420"/>
      </w:pPr>
      <w:r>
        <w:t xml:space="preserve">2. die Bewilligung von Stundungen, die Anforderung und der Erlass von Stundungs-, Säumnis-, Verzugs- oder Kreditzinsen und Säumniszuschlägen sowie die Vollstreckung der daraus resultierenden Geldforderungen im Zusammenhang mit dem vom Hauptzollamt Stuttgart bewilligten laufenden Zahlungsaufschub aller Hauptzollämter bundesweit,</w:t>
      </w:r>
    </w:p>
    <w:p>
      <w:pPr>
        <w:ind w:left="420"/>
      </w:pPr>
      <w:r>
        <w:t xml:space="preserve">3. die Erteilung von Brenngenehmigungen sowie die Annahme von Anzeigen über die Verwendung von Brenngeräten zu anderen Zwecken als der Alkoholgewinnung, soweit diese Anzeige auf der Abfindungsanmeldung erfolgt, aller Hauptzollämter bundesweit,</w:t>
      </w:r>
    </w:p>
    <w:p>
      <w:pPr>
        <w:ind w:left="420"/>
      </w:pPr>
      <w:r>
        <w:t xml:space="preserve">4. die Festsetzung und die Erhebung der Alkoholsteuer auf Abfindungsalkohol aller Hauptzollämter bundesweit, ausgenommen in den Fällen des § 23 Absatz 4 der Alkoholsteuerverordnung,</w:t>
      </w:r>
    </w:p>
    <w:p>
      <w:pPr>
        <w:ind w:left="420"/>
      </w:pPr>
      <w:r>
        <w:t xml:space="preserve">5. die Ausstellung von Bescheinigungen gemäß Artikel 23a Absatz 1 der Richtlinie 92/83/EWG des Rates vom 19. Oktober 1992 zur Harmonisierung der Struktur der Verbrauchsteuern auf Alkohol und alkoholische Getränke (ABl. L 316 vom 31.10.1992, S. 21; L 19 vom 27.1.1995, S. 52), die zuletzt durch die Richtlinie (EU) 2020/1151 (ABl. L 256 vom 5.8.2020, S. 1) geändert worden ist, in der jeweils geltenden Fassung aller Hauptzollämter bundesweit,</w:t>
      </w:r>
    </w:p>
    <w:p>
      <w:pPr>
        <w:ind w:left="420"/>
      </w:pPr>
      <w:r>
        <w:t xml:space="preserve">6. die Auskunftserteilung und die Datenübermittlung an die land- und forstwirtschaftlichen Berufsgenossenschaften aller Hauptzollämter bundesweit,</w:t>
      </w:r>
    </w:p>
    <w:p>
      <w:pPr>
        <w:ind w:left="420"/>
      </w:pPr>
      <w:r>
        <w:t xml:space="preserve">7. die Erhebung von Säumniszuschlägen aller Hauptzollämter bundesweit, sofern eine rückständige Abgabe auf Kaffee, kaffeehaltige Waren, Schaumwein, Zwischenerzeugnisse sowie auf Alkohol und alkoholhaltige Waren im Rahmen eines IT-Verbrauchsteuerverfahrens bei der Zollzahlstelle des Hauptzollamts Stuttgart zum Soll gestellt wurde, sowie</w:t>
      </w:r>
    </w:p>
    <w:p>
      <w:pPr>
        <w:ind w:left="420"/>
      </w:pPr>
      <w:r>
        <w:t xml:space="preserve">8. die Überwachung der allgemein zugelassenen Steuerbürgen der Hauptzollämter Heilbronn und Ulm.</w:t>
      </w:r>
    </w:p>
    <w:p>
      <w:r>
        <w:rPr>
          <w:color w:val="555555"/>
          <w:sz w:val="17"/>
        </w:rPr>
        <w:t xml:space="preserve">Zitiervorschlag: § 39 HZAZustV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https://recht.nulegal.eu/gesetze/HZAZustV%202022/39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HZAZustV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