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HZAZustV 2021 — Hauptzollamt Braunschweig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Braunschweig werden die Zuständigkeiten übertragen für</w:t>
      </w:r>
    </w:p>
    <w:p>
      <w:pPr>
        <w:ind w:left="420"/>
      </w:pPr>
      <w:r>
        <w:t xml:space="preserve">1. die Anmahnung öffentlich-rechtlicher Geldforderungen und die Anforderung von Säumniszuschlägen des Hauptzollamts Hannover, sofern der Zollzahlstelle des Hauptzollamts Hannover die Überwachung des Zahlungseingangs obliegt,</w:t>
      </w:r>
    </w:p>
    <w:p>
      <w:pPr>
        <w:ind w:left="420"/>
      </w:pPr>
      <w:r>
        <w:t xml:space="preserve">2. die Suchverfahren im Rahmen zollrechtlicher Versandverfahren, einschließlich der Inanspruchnahme von Bürgen in Suchverfahren und der Abgabenerhebung in Suchverfahren,</w:t>
      </w:r>
    </w:p>
    <w:p>
      <w:pPr>
        <w:ind w:left="780"/>
      </w:pPr>
      <w:r>
        <w:t xml:space="preserve">a) der Hauptzollämter Bremen, Hannover, Magdeburg, Oldenburg und Osnabrück,</w:t>
      </w:r>
    </w:p>
    <w:p>
      <w:pPr>
        <w:ind w:left="780"/>
      </w:pPr>
      <w:r>
        <w:t xml:space="preserve">b) aller Hauptzollämter bundesweit, wenn das Hauptzollamt Braunschweig als erstes mit dem Suchverfahren befasst ist,</w:t>
      </w:r>
    </w:p>
    <w:p>
      <w:pPr>
        <w:ind w:left="420"/>
      </w:pPr>
      <w:r>
        <w:t xml:space="preserve">3. die Festsetzung und die Erhebung der Kraftfahrzeugsteuer des Hauptzollamts Hannover für den Landkreis Gifhorn,</w:t>
      </w:r>
    </w:p>
    <w:p>
      <w:pPr>
        <w:ind w:left="420"/>
      </w:pPr>
      <w:r>
        <w:t xml:space="preserve">4. die Aufgaben einer Kontrolleinheit Verkehrswege des Hauptzollamts Hannover für die Landkreise Hameln-Pyrmont und Holzminden,</w:t>
      </w:r>
    </w:p>
    <w:p>
      <w:pPr>
        <w:ind w:left="420"/>
      </w:pPr>
      <w:r>
        <w:t xml:space="preserve">5. die Zollprüfungen, die Präferenzprüfungen und die Außenprüfungen, einschließlich der Überwachungsmaßnahmen, des Hauptzollamts Hannover für den Landkreis Holzminden,</w:t>
      </w:r>
    </w:p>
    <w:p>
      <w:pPr>
        <w:ind w:left="420"/>
      </w:pPr>
      <w:r>
        <w:t xml:space="preserve">6. die Finanzkontrolle Schwarzarbeit des Hauptzollamts Hannover für die Landkreise Hameln-Pyrmont und Holzminden,</w:t>
      </w:r>
    </w:p>
    <w:p>
      <w:pPr>
        <w:ind w:left="420"/>
      </w:pPr>
      <w:r>
        <w:t xml:space="preserve">7. die Straf- und Bußgeldsachen der Hauptzollämter Hannover und Magdeburg sowie</w:t>
      </w:r>
    </w:p>
    <w:p>
      <w:pPr>
        <w:ind w:left="420"/>
      </w:pPr>
      <w:r>
        <w:t xml:space="preserve">8. den Aufgabenbereich Vollstreckung des Hauptzollamts Hannover.</w:t>
      </w:r>
    </w:p>
    <w:p>
      <w:r>
        <w:rPr>
          <w:color w:val="555555"/>
          <w:sz w:val="17"/>
        </w:rPr>
        <w:t xml:space="preserve">Zitiervorschlag: § 6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