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HZAZustV 2021 — Hauptzollamt Bielefeld</w:t>
      </w:r>
    </w:p>
    <w:p>
      <w:r>
        <w:rPr>
          <w:color w:val="555555"/>
          <w:sz w:val="18"/>
        </w:rPr>
        <w:t xml:space="preserve">Hauptzollamtszuständigkeitsverordnung</w:t>
      </w:r>
    </w:p>
    <w:p>
      <w:r>
        <w:rPr>
          <w:color w:val="555555"/>
          <w:sz w:val="18"/>
        </w:rPr>
        <w:t xml:space="preserve">Historische Fassung: Stand 01.01.2021 bis 02.07.2026. Dies ist nicht die aktuelle Fassung.</w:t>
      </w:r>
    </w:p>
    <w:p>
      <w:r>
        <w:t xml:space="preserve">Dem Hauptzollamt Bielefeld wird die Zuständigkeit für den Aufgabenbereich Vollstreckung des Hauptzollamts Münster, mit Ausnahme des Kreises Borken, übertragen.</w:t>
      </w:r>
    </w:p>
    <w:p>
      <w:r>
        <w:rPr>
          <w:color w:val="555555"/>
          <w:sz w:val="17"/>
        </w:rPr>
        <w:t xml:space="preserve">Zitiervorschlag: § 5 HZAZustV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https://recht.nulegal.eu/gesetze/HZAZustV%202021/5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