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HZAZustV 2021 — Hauptzollamt Ulm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Ulm werden die Zuständigkeiten übertragen für</w:t>
      </w:r>
    </w:p>
    <w:p>
      <w:pPr>
        <w:ind w:left="420"/>
      </w:pPr>
      <w:r>
        <w:t xml:space="preserve">1. die Festsetzung und die Erhebung der Kraftfahrzeugsteuer des Hauptzollamts Koblenz und des Hauptzollamts Stuttgart, mit Ausnahme des Landkreises Ludwigsburg,</w:t>
      </w:r>
    </w:p>
    <w:p>
      <w:pPr>
        <w:ind w:left="420"/>
      </w:pPr>
      <w:r>
        <w:t xml:space="preserve">2. die zollamtliche Abfertigung des Warenverkehrs des Hauptzollamts Augsburg</w:t>
      </w:r>
    </w:p>
    <w:p>
      <w:pPr>
        <w:ind w:left="780"/>
      </w:pPr>
      <w:r>
        <w:t xml:space="preserve">a) für den Landkreis Neu-Ulm, mit Ausnahme der Gemeinden Altenstadt, Kellmünz an der Iller, Oberroth, Osterberg und Unterroth sowie</w:t>
      </w:r>
    </w:p>
    <w:p>
      <w:pPr>
        <w:ind w:left="780"/>
      </w:pPr>
      <w:r>
        <w:t xml:space="preserve">b) für die Städte Burgau, Günzburg und Leipheim sowie die Gemeinden Bibertal, Bubesheim, Burtenbach, Dürrlauingen, Gundremmingen, Haldenwang, Ichenhausen, Jettingen-Scheppach, Kammeltal, Kötz, Landensberg, Offingen, Rettenbach, Röfingen, Waldstetten und Winterbach des Landkreises Günzburg,</w:t>
      </w:r>
    </w:p>
    <w:p>
      <w:pPr>
        <w:ind w:left="420"/>
      </w:pPr>
      <w:r>
        <w:t xml:space="preserve">3. die Aufgaben einer Kontrolleinheit Grenznaher Raum für den Bodensee und im grenznahen Raum zur Schweiz des Hauptzollamts Augsburg,</w:t>
      </w:r>
    </w:p>
    <w:p>
      <w:pPr>
        <w:ind w:left="420"/>
      </w:pPr>
      <w:r>
        <w:t xml:space="preserve">4. die Zollprüfungen von Zollanmeldern mit Sitz in der Schweiz oder in Liechtenstein, die bei den Zollstellen der Hauptzollämter Lörrach, Singen und Ulm Zollanmeldungen im eigenen Namen abgegeben haben, sowie</w:t>
      </w:r>
    </w:p>
    <w:p>
      <w:pPr>
        <w:ind w:left="420"/>
      </w:pPr>
      <w:r>
        <w:t xml:space="preserve">5. die Straf- und Bußgeldsachen der Hauptzollämter Heilbronn und Stuttgart und des Hauptzollamts Augsburg für den Bodensee und den grenznahen Raum zur Schweiz.</w:t>
      </w:r>
    </w:p>
    <w:p>
      <w:r>
        <w:rPr>
          <w:color w:val="555555"/>
          <w:sz w:val="17"/>
        </w:rPr>
        <w:t xml:space="preserve">Zitiervorschlag: § 40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