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HZAZustV 2021 — Hauptzollamt Berlin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Berlin werden die Zuständigkeiten übertragen für</w:t>
      </w:r>
    </w:p>
    <w:p>
      <w:pPr>
        <w:ind w:left="420"/>
      </w:pPr>
      <w:r>
        <w:t xml:space="preserve">1. die Vergütung der Energiesteuer nach § 59 des Energiesteuergesetzes in Verbindung mit § 104 der Energiesteuer-Durchführungsverordnung aller Hauptzollämter bundesweit,</w:t>
      </w:r>
    </w:p>
    <w:p>
      <w:pPr>
        <w:ind w:left="420"/>
      </w:pPr>
      <w:r>
        <w:t xml:space="preserve">2. die Überwachung der Kontingente und Bezugsmengen von Diplomatengut sowie der Bezugsmengen von Konsulargut aller Hauptzollämter bundesweit,</w:t>
      </w:r>
    </w:p>
    <w:p>
      <w:pPr>
        <w:ind w:left="420"/>
      </w:pPr>
      <w:r>
        <w:t xml:space="preserve">3. die Erteilung von Grenzempfehlungen aller Hauptzollämter bundesweit,</w:t>
      </w:r>
    </w:p>
    <w:p>
      <w:pPr>
        <w:ind w:left="420"/>
      </w:pPr>
      <w:r>
        <w:t xml:space="preserve">4. die Zollprüfungen, die Präferenzprüfungen, die Außenwirtschaftsprüfungen und die Sonderprüfungen, einschließlich der Überwachungsmaßnahmen, der Hauptzollämter Frankfurt (Oder) und Potsdam sowie</w:t>
      </w:r>
    </w:p>
    <w:p>
      <w:pPr>
        <w:ind w:left="420"/>
      </w:pPr>
      <w:r>
        <w:t xml:space="preserve">5. die Straf- und Bußgeldsachen des Hauptzollamts Potsdam.</w:t>
      </w:r>
    </w:p>
    <w:p>
      <w:r>
        <w:rPr>
          <w:color w:val="555555"/>
          <w:sz w:val="17"/>
        </w:rPr>
        <w:t xml:space="preserve">Zitiervorschlag: § 4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