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HZAZustV 2021 — Hauptzollamt Stuttgart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Stuttgart werden die Zuständigkeiten übertragen für</w:t>
      </w:r>
    </w:p>
    <w:p>
      <w:pPr>
        <w:ind w:left="420"/>
      </w:pPr>
      <w:r>
        <w:t xml:space="preserve">1. die Bewilligung des laufenden Zahlungsaufschubs der Hauptzollämter Darmstadt, Heilbronn, Karlsruhe, Koblenz, Lörrach, Saarbrücken, Singen und Ulm,</w:t>
      </w:r>
    </w:p>
    <w:p>
      <w:pPr>
        <w:ind w:left="420"/>
      </w:pPr>
      <w:r>
        <w:t xml:space="preserve">2. die Bewilligung von Stundungen, die Anforderung und der Erlass von Stundungs-, Säumnis-, Verzugs- oder Kreditzinsen und Säumniszuschlägen sowie die Vollstreckung der daraus resultierenden Geldforderungen im Zusammenhang mit dem vom Hauptzollamt Stuttgart bewilligten laufenden Zahlungsaufschub aller Hauptzollämter bundesweit,</w:t>
      </w:r>
    </w:p>
    <w:p>
      <w:pPr>
        <w:ind w:left="420"/>
      </w:pPr>
      <w:r>
        <w:t xml:space="preserve">3. die Erteilung von Brenngenehmigungen sowie die Annahme von Anzeigen über die Verwendung von Brenngeräten zu anderen Zwecken als der Alkoholgewinnung, soweit diese Anzeige auf der Abfindungsanmeldung erfolgt, aller Hauptzollämter bundesweit,</w:t>
      </w:r>
    </w:p>
    <w:p>
      <w:pPr>
        <w:ind w:left="420"/>
      </w:pPr>
      <w:r>
        <w:t xml:space="preserve">4. die Festsetzung und die Erhebung der Alkoholsteuer auf Abfindungsalkohol aller Hauptzollämter bundesweit, ausgenommen in den Fällen des § 23 Absatz 4 der Alkoholsteuerverordnung,</w:t>
      </w:r>
    </w:p>
    <w:p>
      <w:pPr>
        <w:ind w:left="420"/>
      </w:pPr>
      <w:r>
        <w:t xml:space="preserve">5. die Erteilung von Erlaubnissen zur Gewinnung, Lagerung und Beförderung von Alkohol in einer Abfindungsbrennerei unter Steueraussetzung aller Hauptzollämter bundesweit,</w:t>
      </w:r>
    </w:p>
    <w:p>
      <w:pPr>
        <w:ind w:left="420"/>
      </w:pPr>
      <w:r>
        <w:t xml:space="preserve">6. die Auskunftserteilung und die Datenübermittlung an die land- und forstwirtschaftlichen Berufsgenossenschaften aller Hauptzollämter bundesweit,</w:t>
      </w:r>
    </w:p>
    <w:p>
      <w:pPr>
        <w:ind w:left="420"/>
      </w:pPr>
      <w:r>
        <w:t xml:space="preserve">7. die Erhebung von Säumniszuschlägen aller Hauptzollämter bundesweit, sofern eine rückständige Abgabe auf Kaffee, kaffeehaltige Waren, Schaumwein, Zwischenerzeugnisse sowie auf Alkohol und alkoholhaltige Waren im Rahmen eines IT-Verbrauchsteuerverfahrens bei der Zollzahlstelle des Hauptzollamts Stuttgart zum Soll gestellt wurde, sowie</w:t>
      </w:r>
    </w:p>
    <w:p>
      <w:pPr>
        <w:ind w:left="420"/>
      </w:pPr>
      <w:r>
        <w:t xml:space="preserve">8. die Überwachung der allgemein zugelassenen Steuerbürgen der Hauptzollämter Heilbronn und Ulm.</w:t>
      </w:r>
    </w:p>
    <w:p>
      <w:r>
        <w:rPr>
          <w:color w:val="555555"/>
          <w:sz w:val="17"/>
        </w:rPr>
        <w:t xml:space="preserve">Zitiervorschlag: § 39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