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HZAZustV 2021 — Hauptzollamt Osnabrück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Osnabrück werden die Zuständigkeiten übertragen für</w:t>
      </w:r>
    </w:p>
    <w:p>
      <w:pPr>
        <w:ind w:left="420"/>
      </w:pPr>
      <w:r>
        <w:t xml:space="preserve">1. die Festsetzung und die Erhebung der Kraftfahrzeugsteuer des Hauptzollamts Hannover für den Landkreis Diepholz und des Hauptzollamts Oldenburg für die Landkreise Cloppenburg und Emsland,</w:t>
      </w:r>
    </w:p>
    <w:p>
      <w:pPr>
        <w:ind w:left="420"/>
      </w:pPr>
      <w:r>
        <w:t xml:space="preserve">2. die Zollprüfungen, die Präferenzprüfungen und die Außenprüfungen, einschließlich der Überwachungsmaßnahmen, des Hauptzollamts Oldenburg, mit Ausnahme der Landkreise Cuxhaven, Rotenburg (Wümme) und Stade,</w:t>
      </w:r>
    </w:p>
    <w:p>
      <w:pPr>
        <w:ind w:left="420"/>
      </w:pPr>
      <w:r>
        <w:t xml:space="preserve">3. die Finanzkontrolle Schwarzarbeit des Hauptzollamts Hannover für die Landkreise Diepholz und Nienburg/Weser sowie</w:t>
      </w:r>
    </w:p>
    <w:p>
      <w:pPr>
        <w:ind w:left="420"/>
      </w:pPr>
      <w:r>
        <w:t xml:space="preserve">4. den Aufgabenbereich Vollstreckung der Hauptzollämter Bremen und Oldenburg.</w:t>
      </w:r>
    </w:p>
    <w:p>
      <w:r>
        <w:rPr>
          <w:color w:val="555555"/>
          <w:sz w:val="17"/>
        </w:rPr>
        <w:t xml:space="preserve">Zitiervorschlag: § 32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