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HZAZustV 2021 — Hauptzollamt Nürnberg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Nürnberg werden die Zuständigkeiten übertragen für</w:t>
      </w:r>
    </w:p>
    <w:p>
      <w:pPr>
        <w:ind w:left="420"/>
      </w:pPr>
      <w:r>
        <w:t xml:space="preserve">1. die Anmahnung öffentlich-rechtlicher Geldforderungen und die Anforderung von Säumniszuschlägen des Hauptzollamts Schweinfurt, sofern der Zollzahlstelle des Hauptzollamts Nürnberg die Überwachung des Zahlungseingangs obliegt,</w:t>
      </w:r>
    </w:p>
    <w:p>
      <w:pPr>
        <w:ind w:left="420"/>
      </w:pPr>
      <w:r>
        <w:t xml:space="preserve">2. die Bewilligung des laufenden Zahlungsaufschubs der Hauptzollämter Erfurt, Regensburg und Schweinfurt,</w:t>
      </w:r>
    </w:p>
    <w:p>
      <w:pPr>
        <w:ind w:left="420"/>
      </w:pPr>
      <w:r>
        <w:t xml:space="preserve">3. die Bewilligung von Stundungen, die Anforderung und den Erlass von Stundungs-, Säumnis-, Verzugs- oder Kreditzinsen und Säumniszuschlägen sowie die Vollstreckung der daraus resultierenden Geldforderungen im Zusammenhang mit dem vom Hauptzollamt Nürnberg bewilligten laufenden Zahlungsaufschub aller Hauptzollämter bundesweit,</w:t>
      </w:r>
    </w:p>
    <w:p>
      <w:pPr>
        <w:ind w:left="420"/>
      </w:pPr>
      <w:r>
        <w:t xml:space="preserve">4. die Festsetzung und die Erhebung der Kraftfahrzeugsteuer des Hauptzollamts Schweinfurt für den Landkreis Forchheim,</w:t>
      </w:r>
    </w:p>
    <w:p>
      <w:pPr>
        <w:ind w:left="420"/>
      </w:pPr>
      <w:r>
        <w:t xml:space="preserve">5. die Marktordnungsprüfungen, einschließlich der Überwachungsmaßnahmen, der Hauptzollämter Regensburg und Schweinfurt sowie</w:t>
      </w:r>
    </w:p>
    <w:p>
      <w:pPr>
        <w:ind w:left="420"/>
      </w:pPr>
      <w:r>
        <w:t xml:space="preserve">6. die Sonderprüfungen der Hauptzollämter Augsburg, Landshut, München, Regensburg, Rosenheim und Schweinfurt.</w:t>
      </w:r>
    </w:p>
    <w:p>
      <w:r>
        <w:rPr>
          <w:color w:val="555555"/>
          <w:sz w:val="17"/>
        </w:rPr>
        <w:t xml:space="preserve">Zitiervorschlag: § 30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