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HZAZustV 2021 — Hauptzollamt Augsburg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Augsburg werden die Zuständigkeiten übertragen für</w:t>
      </w:r>
    </w:p>
    <w:p>
      <w:pPr>
        <w:ind w:left="420"/>
      </w:pPr>
      <w:r>
        <w:t xml:space="preserve">1. die Festsetzung und die Erhebung der Kraftfahrzeugsteuer des Hauptzollamts Rosenheim,</w:t>
      </w:r>
    </w:p>
    <w:p>
      <w:pPr>
        <w:ind w:left="420"/>
      </w:pPr>
      <w:r>
        <w:t xml:space="preserve">2. die Marktordnungsprüfungen, einschließlich der Überwachungsmaßnahmen, der Hauptzollämter Landshut, München und Rosenheim sowie</w:t>
      </w:r>
    </w:p>
    <w:p>
      <w:pPr>
        <w:ind w:left="420"/>
      </w:pPr>
      <w:r>
        <w:t xml:space="preserve">3. die Straf- und Bußgeldsachen der Hauptzollämter Landshut, München und Rosenheim.</w:t>
      </w:r>
    </w:p>
    <w:p>
      <w:r>
        <w:rPr>
          <w:color w:val="555555"/>
          <w:sz w:val="17"/>
        </w:rPr>
        <w:t xml:space="preserve">Zitiervorschlag: § 3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