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HZAZustV 2021 — Hauptzollamt München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Dem Hauptzollamt München werden die Zuständigkeiten übertragen für</w:t>
      </w:r>
    </w:p>
    <w:p>
      <w:pPr>
        <w:ind w:left="420"/>
      </w:pPr>
      <w:r>
        <w:t xml:space="preserve">1. die Bewilligung des laufenden Zahlungsaufschubs der Hauptzollämter Augsburg, Landshut und Rosenheim,</w:t>
      </w:r>
    </w:p>
    <w:p>
      <w:pPr>
        <w:ind w:left="420"/>
      </w:pPr>
      <w:r>
        <w:t xml:space="preserve">2. die Bewilligung von Stundungen, die Anforderung und den Erlass von Stundungs-, Säumnis-, Verzugs- oder Kreditzinsen und Säumniszuschlägen sowie die Vollstreckung der daraus resultierenden Geldforderungen im Zusammenhang mit dem vom Hauptzollamt München bewilligten laufenden Zahlungsaufschub aller Hauptzollämter bundesweit,</w:t>
      </w:r>
    </w:p>
    <w:p>
      <w:pPr>
        <w:ind w:left="420"/>
      </w:pPr>
      <w:r>
        <w:t xml:space="preserve">3. die Bewilligung der Inanspruchnahme einer Gesamtbürgschaft oder der Befreiung von der Sicherheitsleistung nach den Artikeln 89 bis 96 der Verordnung (EU) Nr. 952/2013 und den Artikeln 48 bis 61 der Anlage I zum Übereinkommen über ein gemeinsames Versandverfahren (ABl. L 226 vom 13.8.1987, S. 2), das zuletzt durch den Beschluss Nr. 1/2019 (ABl. L 103 vom 3.4.2020, S. 47) geändert worden ist, in der jeweils geltenden Fassung der Hauptzollämter Augsburg, Landshut und Rosenheim sowie</w:t>
      </w:r>
    </w:p>
    <w:p>
      <w:pPr>
        <w:ind w:left="420"/>
      </w:pPr>
      <w:r>
        <w:t xml:space="preserve">4. die Außenwirtschaftsprüfungen, einschließlich der Überwachungsmaßnahmen, der Hauptzollämter Augsburg, Landshut und Rosenheim.</w:t>
      </w:r>
    </w:p>
    <w:p>
      <w:r>
        <w:rPr>
          <w:color w:val="555555"/>
          <w:sz w:val="17"/>
        </w:rPr>
        <w:t xml:space="preserve">Zitiervorschlag: § 28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