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HZAZustV 2021 — Hauptzollamt Koblenz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Koblenz werden die Zuständigkeiten übertragen für</w:t>
      </w:r>
    </w:p>
    <w:p>
      <w:pPr>
        <w:ind w:left="420"/>
      </w:pPr>
      <w:r>
        <w:t xml:space="preserve">1. die Marktordnungsprüfungen, einschließlich der Überwachungsmaßnahmen, des Hauptzollamts Saarbrücken sowie</w:t>
      </w:r>
    </w:p>
    <w:p>
      <w:pPr>
        <w:ind w:left="420"/>
      </w:pPr>
      <w:r>
        <w:t xml:space="preserve">2. den Aufgabenbereich Vollstreckung des Hauptzollamts Saarbrücken.</w:t>
      </w:r>
    </w:p>
    <w:p>
      <w:r>
        <w:rPr>
          <w:color w:val="555555"/>
          <w:sz w:val="17"/>
        </w:rPr>
        <w:t xml:space="preserve">Zitiervorschlag: § 22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