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HZAZustV 2021 — Hauptzollamt Karlsruhe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Karlsruhe werden die Zuständigkeiten übertragen für</w:t>
      </w:r>
    </w:p>
    <w:p>
      <w:pPr>
        <w:ind w:left="420"/>
      </w:pPr>
      <w:r>
        <w:t xml:space="preserve">1. die Außenwirtschaftsprüfungen und die Marktordnungsprüfungen, einschließlich der Überwachungsmaßnahmen, der Hauptzollämter Lörrach und Singen sowie</w:t>
      </w:r>
    </w:p>
    <w:p>
      <w:pPr>
        <w:ind w:left="420"/>
      </w:pPr>
      <w:r>
        <w:t xml:space="preserve">2. die Straf- und Bußgeldsachen der Hauptzollämter Lörrach und Singen.</w:t>
      </w:r>
    </w:p>
    <w:p>
      <w:r>
        <w:rPr>
          <w:color w:val="555555"/>
          <w:sz w:val="17"/>
        </w:rPr>
        <w:t xml:space="preserve">Zitiervorschlag: § 20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