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 HZAZustV 2021 — Hauptzollamt Heilbronn</w:t>
      </w:r>
    </w:p>
    <w:p>
      <w:r>
        <w:rPr>
          <w:color w:val="555555"/>
          <w:sz w:val="18"/>
        </w:rPr>
        <w:t xml:space="preserve">Hauptzollamtszuständigkeitsverordnung</w:t>
      </w:r>
    </w:p>
    <w:p>
      <w:r>
        <w:rPr>
          <w:color w:val="555555"/>
          <w:sz w:val="18"/>
        </w:rPr>
        <w:t xml:space="preserve">Historische Fassung: Stand 01.01.2021 bis 02.07.2026. Dies ist nicht die aktuelle Fassung.</w:t>
      </w:r>
    </w:p>
    <w:p>
      <w:r>
        <w:t xml:space="preserve">Dem Hauptzollamt Heilbronn werden die Zuständigkeiten übertragen für</w:t>
      </w:r>
    </w:p>
    <w:p>
      <w:pPr>
        <w:ind w:left="420"/>
      </w:pPr>
      <w:r>
        <w:t xml:space="preserve">1. die Suchverfahren im Rahmen zollrechtlicher Versandverfahren, einschließlich der Inanspruchnahme von Bürgen in Suchverfahren und der Abgabenerhebung in Suchverfahren,</w:t>
      </w:r>
    </w:p>
    <w:p>
      <w:pPr>
        <w:ind w:left="780"/>
      </w:pPr>
      <w:r>
        <w:t xml:space="preserve">a) der Hauptzollämter Karlsruhe, Lörrach, Singen, Stuttgart und Ulm,</w:t>
      </w:r>
    </w:p>
    <w:p>
      <w:pPr>
        <w:ind w:left="780"/>
      </w:pPr>
      <w:r>
        <w:t xml:space="preserve">b) aller Hauptzollämter bundesweit, wenn das Hauptzollamt Heilbronn als erstes mit dem Suchverfahren befasst ist,</w:t>
      </w:r>
    </w:p>
    <w:p>
      <w:pPr>
        <w:ind w:left="420"/>
      </w:pPr>
      <w:r>
        <w:t xml:space="preserve">2. die Festsetzung und die Erhebung der Kraftfahrzeugsteuer des Hauptzollamts Stuttgart für den Landkreis Ludwigsburg,</w:t>
      </w:r>
    </w:p>
    <w:p>
      <w:pPr>
        <w:ind w:left="420"/>
      </w:pPr>
      <w:r>
        <w:t xml:space="preserve">3. die zollamtliche Abfertigung des Warenverkehrs des Hauptzollamts Karlsruhe für den Neckar-Odenwald-Kreis,</w:t>
      </w:r>
    </w:p>
    <w:p>
      <w:pPr>
        <w:ind w:left="420"/>
      </w:pPr>
      <w:r>
        <w:t xml:space="preserve">4. die Zollprüfungen, die Präferenzprüfungen und die Außenprüfungen, einschließlich der Überwachungsmaßnahmen, des Hauptzollamts Stuttgart,</w:t>
      </w:r>
    </w:p>
    <w:p>
      <w:pPr>
        <w:ind w:left="420"/>
      </w:pPr>
      <w:r>
        <w:t xml:space="preserve">5. die Außenwirtschaftsprüfungen und die Marktordnungsprüfungen, einschließlich der Überwachungsmaßnahmen, der Hauptzollämter Stuttgart und Ulm,</w:t>
      </w:r>
    </w:p>
    <w:p>
      <w:pPr>
        <w:ind w:left="420"/>
      </w:pPr>
      <w:r>
        <w:t xml:space="preserve">6. die Sonderprüfungen der Hauptzollämter Karlsruhe, Lörrach, Singen, Stuttgart und Ulm,</w:t>
      </w:r>
    </w:p>
    <w:p>
      <w:pPr>
        <w:ind w:left="420"/>
      </w:pPr>
      <w:r>
        <w:t xml:space="preserve">7. den Aufgabenbereich Vollstreckung der Hauptzollämter Stuttgart und Ulm sowie</w:t>
      </w:r>
    </w:p>
    <w:p>
      <w:pPr>
        <w:ind w:left="420"/>
      </w:pPr>
      <w:r>
        <w:t xml:space="preserve">8. den Aufgabenbereich Vollstreckung aller Hauptzollämter bundesweit, sofern eine rückständige Abgabe auf Kaffee, kaffeehaltige Waren, Schaumwein, Zwischenerzeugnisse sowie auf Alkohol und alkoholhaltige Waren im Rahmen eines IT-Verbrauchsteuerverfahrens bei der Zollzahlstelle des Hauptzollamts Stuttgart zum Soll gestellt wurde.</w:t>
      </w:r>
    </w:p>
    <w:p>
      <w:r>
        <w:rPr>
          <w:color w:val="555555"/>
          <w:sz w:val="17"/>
        </w:rPr>
        <w:t xml:space="preserve">Zitiervorschlag: § 18 HZAZustV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https://recht.nulegal.eu/gesetze/HZAZustV%202021/18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