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HZAZustV 2021 — Hauptzollamt Hamburg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Hamburg werden die Zuständigkeiten übertragen für</w:t>
      </w:r>
    </w:p>
    <w:p>
      <w:pPr>
        <w:ind w:left="420"/>
      </w:pPr>
      <w:r>
        <w:t xml:space="preserve">1. die Anmahnung öffentlich-rechtlicher Geldforderungen und die Anforderung von Säumniszuschlägen des Hauptzollamts Itzehoe für das Zollamt Hamburg-Flughafen für vor dem 1. Mai 2016 registrierte Vorgänge, sofern der Zollzahlstelle des Hauptzollamts Hamburg die Überwachung des Zahlungseingangs obliegt,</w:t>
      </w:r>
    </w:p>
    <w:p>
      <w:pPr>
        <w:ind w:left="420"/>
      </w:pPr>
      <w:r>
        <w:t xml:space="preserve">2. die Einnahme und die Buchung der Zuckerabgaben aller Hauptzollämter bundesweit,</w:t>
      </w:r>
    </w:p>
    <w:p>
      <w:pPr>
        <w:ind w:left="420"/>
      </w:pPr>
      <w:r>
        <w:t xml:space="preserve">3. die Auszahlung und die Buchung der Produktionserstattungen für die Verwendung von Zucker aller Hauptzollämter bundesweit,</w:t>
      </w:r>
    </w:p>
    <w:p>
      <w:pPr>
        <w:ind w:left="420"/>
      </w:pPr>
      <w:r>
        <w:t xml:space="preserve">4. die Einnahme und die Buchung der Abgaben im Milchsektor,</w:t>
      </w:r>
    </w:p>
    <w:p>
      <w:pPr>
        <w:ind w:left="420"/>
      </w:pPr>
      <w:r>
        <w:t xml:space="preserve">5. die Festsetzung und die Erhebung von Ausfuhrabgaben für Marktordnungswaren nach dem Marktorganisationsgesetz aller Hauptzollämter bundesweit; davon unberührt bleibt die Zuständigkeit für die Entgegennahme der Anmeldung und des Antrags auf Abfertigung, für die die Ausfuhrzollstelle zuständig ist,</w:t>
      </w:r>
    </w:p>
    <w:p>
      <w:pPr>
        <w:ind w:left="420"/>
      </w:pPr>
      <w:r>
        <w:t xml:space="preserve">6. die Bewilligung des laufenden Zahlungsaufschubs der Hauptzollämter Bremen und Oldenburg,</w:t>
      </w:r>
    </w:p>
    <w:p>
      <w:pPr>
        <w:ind w:left="420"/>
      </w:pPr>
      <w:r>
        <w:t xml:space="preserve">7. die Bewilligung von Stundungen, die Anforderung und den Erlass von Stundungs-, Säumnis-, Verzugs- oder Kreditzinsen und Säumniszuschlägen sowie die Vollstreckung der daraus resultierenden Geldforderungen im Zusammenhang mit dem vom Hauptzollamt Hamburg bewilligten laufenden Zahlungsaufschub aller Hauptzollämter bundesweit,</w:t>
      </w:r>
    </w:p>
    <w:p>
      <w:pPr>
        <w:ind w:left="420"/>
      </w:pPr>
      <w:r>
        <w:t xml:space="preserve">8. die Festsetzung und die Erhebung der Kraftfahrzeugsteuer des Hauptzollamts Itzehoe für das Stadtgebiet Hamburg,</w:t>
      </w:r>
    </w:p>
    <w:p>
      <w:pPr>
        <w:ind w:left="420"/>
      </w:pPr>
      <w:r>
        <w:t xml:space="preserve">9. die Außenwirtschaftsprüfungen, einschließlich der Überwachungsmaßnahmen der Hauptzollämter Itzehoe, Kiel und Stralsund,</w:t>
      </w:r>
    </w:p>
    <w:p>
      <w:pPr>
        <w:ind w:left="420"/>
      </w:pPr>
      <w:r>
        <w:t xml:space="preserve">10. die Sonderprüfungen der Hauptzollämter Bremen, Itzehoe, Kiel, Oldenburg und Stralsund sowie</w:t>
      </w:r>
    </w:p>
    <w:p>
      <w:pPr>
        <w:ind w:left="420"/>
      </w:pPr>
      <w:r>
        <w:t xml:space="preserve">11. den Aufgabenbereich Vollstreckung des Hauptzollamts Itzehoe für das Stadtgebiet Hamburg.</w:t>
      </w:r>
    </w:p>
    <w:p>
      <w:r>
        <w:rPr>
          <w:color w:val="555555"/>
          <w:sz w:val="17"/>
        </w:rPr>
        <w:t xml:space="preserve">Zitiervorschlag: § 16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