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HZAZustV 2021 — Hauptzollamt Frankfurt (Oder)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Frankfurt (Oder) werden die Zuständigkeiten übertragen für</w:t>
      </w:r>
    </w:p>
    <w:p>
      <w:pPr>
        <w:ind w:left="420"/>
      </w:pPr>
      <w:r>
        <w:t xml:space="preserve">1. die Entlastung von der Energiesteuer nach § 57 des Energiesteuergesetzes in Verbindung mit § 103 der Energiesteuer-Durchführungsverordnung der Hauptzollämter Aachen, Berlin, Bielefeld, Braunschweig, Bremen, Dortmund, Duisburg, Düsseldorf, Hannover, Köln, Krefeld, Magdeburg, Münster, Oldenburg, Osnabrück und Potsdam sowie</w:t>
      </w:r>
    </w:p>
    <w:p>
      <w:pPr>
        <w:ind w:left="420"/>
      </w:pPr>
      <w:r>
        <w:t xml:space="preserve">2. die Festsetzung und die Erhebung der Kraftfahrzeugsteuer der Hauptzollämter Berlin, Potsdam und des Hauptzollamts Erfurt, mit Ausnahme der Landkreise Mittelsachsen und Meißen.</w:t>
      </w:r>
    </w:p>
    <w:p>
      <w:r>
        <w:rPr>
          <w:color w:val="555555"/>
          <w:sz w:val="17"/>
        </w:rPr>
        <w:t xml:space="preserve">Zitiervorschlag: § 14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