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HZAZustV 2021 — Hauptzollamt Duisburg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Duisburg werden die Zuständigkeiten übertragen für</w:t>
      </w:r>
    </w:p>
    <w:p>
      <w:pPr>
        <w:ind w:left="420"/>
      </w:pPr>
      <w:r>
        <w:t xml:space="preserve">1. die Anmahnung öffentlich-rechtlicher Geldforderungen und die Anforderung von Säumniszuschlägen des Hauptzollamts Krefeld, sofern der Zollzahlstelle des Hauptzollamts Duisburg die Überwachung des Zahlungseingangs obliegt,</w:t>
      </w:r>
    </w:p>
    <w:p>
      <w:pPr>
        <w:ind w:left="420"/>
      </w:pPr>
      <w:r>
        <w:t xml:space="preserve">2. die Festsetzung und die Erhebung der Kraftfahrzeugsteuer des Hauptzollamts Krefeld für den Kreis Wesel,</w:t>
      </w:r>
    </w:p>
    <w:p>
      <w:pPr>
        <w:ind w:left="420"/>
      </w:pPr>
      <w:r>
        <w:t xml:space="preserve">3. die Aufgaben einer Kontrolleinheit Verkehrswege des Hauptzollamts Düsseldorf,</w:t>
      </w:r>
    </w:p>
    <w:p>
      <w:pPr>
        <w:ind w:left="420"/>
      </w:pPr>
      <w:r>
        <w:t xml:space="preserve">4. die Finanzkontrolle Schwarzarbeit des Hauptzollamts Krefeld für den Kreis Wesel sowie</w:t>
      </w:r>
    </w:p>
    <w:p>
      <w:pPr>
        <w:ind w:left="420"/>
      </w:pPr>
      <w:r>
        <w:t xml:space="preserve">5. den Aufgabenbereich Vollstreckung des Hauptzollamts Krefeld, mit Ausnahme des Rhein-Kreises Neuss, und des Hauptzollamts Münster für den Kreis Borken.</w:t>
      </w:r>
    </w:p>
    <w:p>
      <w:r>
        <w:rPr>
          <w:color w:val="555555"/>
          <w:sz w:val="17"/>
        </w:rPr>
        <w:t xml:space="preserve">Zitiervorschlag: § 10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