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HZAZustV 2021 — Anwendungsbereich, Begriffsbestimmungen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(1) Die in Abschnitt 2 dieser Verordnung aufgeführten Zuständigkeitsübertragungen für die Festsetzung und die Erhebung der Kraftfahrzeugsteuer schließen die Zuständigkeit für das gerichtliche und das außergerichtliche Rechtsbehelfsverfahren mit ein. Satz 1 gilt nicht für die Festsetzung und die Erhebung der Kraftfahrzeugsteuer mittels Steuerkarte durch die Zollämter und die Kontrolleinheiten der Sachgebiete C in folgenden Fällen:</w:t>
      </w:r>
    </w:p>
    <w:p>
      <w:pPr>
        <w:ind w:left="420"/>
      </w:pPr>
      <w:r>
        <w:t xml:space="preserve">1. bei vorübergehendem Aufenthalt ausländischer Fahrzeuge im Inland,</w:t>
      </w:r>
    </w:p>
    <w:p>
      <w:pPr>
        <w:ind w:left="420"/>
      </w:pPr>
      <w:r>
        <w:t xml:space="preserve">2. bei einer widerrechtlichen Benutzung ausländischer Fahrzeuge nach § 2 Absatz 5 Satz 1 des Kraftfahrzeugsteuergesetzes sowie</w:t>
      </w:r>
    </w:p>
    <w:p>
      <w:pPr>
        <w:ind w:left="420"/>
      </w:pPr>
      <w:r>
        <w:t xml:space="preserve">3. bei der Bearbeitung dazu eingehender Erstattungsanträge durch das jeweilige Sachgebiet B.</w:t>
      </w:r>
    </w:p>
    <w:p>
      <w:r>
        <w:t xml:space="preserve">(2) Die Übertragung der Zuständigkeit für Prüfungen umfasst weder die Zuständigkeit für die Anordnung von Prüfungen noch für die sich aus den Feststellungen ergebenden Maßnahmen.</w:t>
      </w:r>
    </w:p>
    <w:p>
      <w:r>
        <w:t xml:space="preserve">(3) Zollprüfungen sind nachträgliche Prüfungen auf dem Gebiet des Zollrechts, einschließlich der Prüfung des Verkehrs mit verbrauchsteuerpflichtigen Waren oder Marktordnungswaren über die Grenzen der Europäischen Union.</w:t>
      </w:r>
    </w:p>
    <w:p>
      <w:r>
        <w:t xml:space="preserve">(4) Präferenzprüfungen sind nachträgliche Prüfungen der Warenausfuhr zu Präferenzbedingungen auf Grund völkerrechtlicher Verträge oder auf Grund des Rechts der Europäischen Union.</w:t>
      </w:r>
    </w:p>
    <w:p>
      <w:r>
        <w:t xml:space="preserve">(5) Außenprüfungen sind nachträgliche Prüfungen auf dem Gebiet der Verbrauchsteuern und der Verkehrsteuern.</w:t>
      </w:r>
    </w:p>
    <w:p>
      <w:r>
        <w:t xml:space="preserve">(6) Außenwirtschaftsprüfungen sind nachträgliche Prüfungen der Einhaltung</w:t>
      </w:r>
    </w:p>
    <w:p>
      <w:pPr>
        <w:ind w:left="420"/>
      </w:pPr>
      <w:r>
        <w:t xml:space="preserve">1. des Außenwirtschaftsgesetzes und der zu diesem Gesetz erlassenen Rechtsverordnungen und Anordnungen sowie</w:t>
      </w:r>
    </w:p>
    <w:p>
      <w:pPr>
        <w:ind w:left="420"/>
      </w:pPr>
      <w:r>
        <w:t xml:space="preserve">2. von Rechtsakten des Rates oder der Kommission der Europäischen Union im Bereich des Außenwirtschaftsrechts.</w:t>
      </w:r>
    </w:p>
    <w:p>
      <w:r>
        <w:t xml:space="preserve">(7) Marktordnungsprüfungen sind nachträgliche Prüfungen der Einhaltung</w:t>
      </w:r>
    </w:p>
    <w:p>
      <w:pPr>
        <w:ind w:left="420"/>
      </w:pPr>
      <w:r>
        <w:t xml:space="preserve">1. unmittelbar geltender Regelungen im Sinne des § 1 Absatz 2 des Marktorganisationsgesetzes hinsichtlich Marktordnungswaren oder Direktzahlungen sowie</w:t>
      </w:r>
    </w:p>
    <w:p>
      <w:pPr>
        <w:ind w:left="420"/>
      </w:pPr>
      <w:r>
        <w:t xml:space="preserve">2. dieses Gesetzes und der auf Grund dieses Gesetzes erlassenen Rechtsverordnungen.</w:t>
      </w:r>
    </w:p>
    <w:p>
      <w:r>
        <w:t xml:space="preserve">(8) Überwachungsmaßnahmen sind durch den Prüfungsdienst vorgenommene Maßnahmen der zollamtlichen, der außenwirtschafts- und der marktordnungsrechtlichen Überwachung sowie der Steueraufsicht.</w:t>
      </w:r>
    </w:p>
    <w:p>
      <w:r>
        <w:t xml:space="preserve">(9) Sonderprüfungen sind Prüfungen der Selbstkosten nach § 9 des Zollverwaltungsgesetzes und Prüfungen der wirtschaftlichen Lage.</w:t>
      </w:r>
    </w:p>
    <w:p>
      <w:r>
        <w:t xml:space="preserve">(10) Die in Abschnitt 2 dieser Verordnung aufgeführten Zuständigkeitsübertragungen für die Finanzkontrolle Schwarzarbeit umfassen die Wahrnehmung der den Behörden der Zollverwaltung übertragenen Aufgaben im Zusammenhang mit der Bekämpfung der Schwarzarbeit und der illegalen Beschäftigung.</w:t>
      </w:r>
    </w:p>
    <w:p>
      <w:r>
        <w:t xml:space="preserve">(11) Die in Abschnitt 2 dieser Verordnung aufgeführten Zuständigkeitsübertragungen für Straf- und Bußgeldsachen umfassen weder die Ermittlung von Straftaten noch die Verfolgung und Ahndung von Ordnungswidrigkeiten durch die Finanzkontrolle Schwarzarbeit.</w:t>
      </w:r>
    </w:p>
    <w:p>
      <w:r>
        <w:t xml:space="preserve">(12) Die in Abschnitt 2 dieser Verordnung aufgeführten Zuständigkeitsübertragungen für den Aufgabenbereich Vollstreckung umfassen</w:t>
      </w:r>
    </w:p>
    <w:p>
      <w:pPr>
        <w:ind w:left="420"/>
      </w:pPr>
      <w:r>
        <w:t xml:space="preserve">1. die Vollstreckung wegen Geldforderungen und die Erzwingung von Sicherheiten, sofern diese Aufgaben Hauptzollämtern als Vollstreckungsbehörden obliegen, sowie</w:t>
      </w:r>
    </w:p>
    <w:p>
      <w:pPr>
        <w:ind w:left="420"/>
      </w:pPr>
      <w:r>
        <w:t xml:space="preserve">2. die Anforderung von Säumniszuschlägen durch die Vollstreckungsbehörden, einschließlich der Verwertung beweglicher Sachen.</w:t>
      </w:r>
    </w:p>
    <w:p>
      <w:r>
        <w:rPr>
          <w:color w:val="555555"/>
          <w:sz w:val="17"/>
        </w:rPr>
        <w:t xml:space="preserve">Zitiervorschlag: § 1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