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 HZAZustV 2020 — Hauptzollamt Itzehoe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10.01.2020 bis 02.07.2026. Dies ist nicht die aktuelle Fassung.</w:t>
      </w:r>
    </w:p>
    <w:p>
      <w:r>
        <w:t xml:space="preserve">Dem Hauptzollamt Itzehoe werden die Zuständigkeiten übertragen für</w:t>
      </w:r>
    </w:p>
    <w:p>
      <w:pPr>
        <w:ind w:left="420"/>
      </w:pPr>
      <w:r>
        <w:t xml:space="preserve">1. die Suchverfahren im Rahmen zollrechtlicher Versandverfahren, einschließlich der Inanspruchnahme von Bürgen in Suchverfahren und der Abgabenerhebung in Suchverfahren,</w:t>
      </w:r>
    </w:p>
    <w:p>
      <w:pPr>
        <w:ind w:left="780"/>
      </w:pPr>
      <w:r>
        <w:t xml:space="preserve">a) der Hauptzollämter Hamburg, Kiel und Stralsund,</w:t>
      </w:r>
    </w:p>
    <w:p>
      <w:pPr>
        <w:ind w:left="780"/>
      </w:pPr>
      <w:r>
        <w:t xml:space="preserve">b) aller Hauptzollämter bundesweit, wenn das Hauptzollamt Itzehoe als erstes mit dem Suchverfahren befasst ist,</w:t>
      </w:r>
    </w:p>
    <w:p>
      <w:pPr>
        <w:ind w:left="420"/>
      </w:pPr>
      <w:r>
        <w:t xml:space="preserve">2. die Festsetzung und die Erhebung der Kraftfahrzeugsteuer des Hauptzollamts Kiel für die Kreise Herzogtum Lauenburg, Schleswig-Flensburg, Segeberg und Stormarn, des Hauptzollamts Oldenburg für die Stadt Wilhelmshaven und die Landkreise Ammerland, Cuxhaven, Friesland, Stade, Wesermarsch und des Hauptzollamts Bremen für den Landkreis Cuxhaven sowie</w:t>
      </w:r>
    </w:p>
    <w:p>
      <w:pPr>
        <w:ind w:left="420"/>
      </w:pPr>
      <w:r>
        <w:t xml:space="preserve">3. die Straf- und Bußgeldsachen des Hauptzollamts Kiel.</w:t>
      </w:r>
    </w:p>
    <w:p>
      <w:r>
        <w:rPr>
          <w:color w:val="555555"/>
          <w:sz w:val="17"/>
        </w:rPr>
        <w:t xml:space="preserve">Zitiervorschlag: § 19 HZAZustV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https://recht.nulegal.eu/gesetze/HZAZustV%202020/19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 HZAZustV 2020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