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HZAZustV 2020 — Hauptzollamt Gießen</w:t>
      </w:r>
    </w:p>
    <w:p>
      <w:r>
        <w:rPr>
          <w:color w:val="555555"/>
          <w:sz w:val="18"/>
        </w:rPr>
        <w:t xml:space="preserve">Hauptzollamtszuständigkeitsverordnung</w:t>
      </w:r>
    </w:p>
    <w:p>
      <w:r>
        <w:rPr>
          <w:color w:val="555555"/>
          <w:sz w:val="18"/>
        </w:rPr>
        <w:t xml:space="preserve">Historische Fassung: Stand 10.01.2020 bis 02.07.2026. Dies ist nicht die aktuelle Fassung.</w:t>
      </w:r>
    </w:p>
    <w:p>
      <w:r>
        <w:t xml:space="preserve">Dem Hauptzollamt Gießen werden die Zuständigkeiten übertragen für</w:t>
      </w:r>
    </w:p>
    <w:p>
      <w:pPr>
        <w:ind w:left="420"/>
      </w:pPr>
      <w:r>
        <w:t xml:space="preserve">1. die Suchverfahren im Rahmen zollrechtlicher Versandverfahren, einschließlich der Inanspruchnahme von Bürgen in Suchverfahren und der Abgabenerhebung in Suchverfahren,</w:t>
      </w:r>
    </w:p>
    <w:p>
      <w:pPr>
        <w:ind w:left="780"/>
      </w:pPr>
      <w:r>
        <w:t xml:space="preserve">a) der Hauptzollämter Darmstadt, Frankfurt am Main, Koblenz und Saarbrücken,</w:t>
      </w:r>
    </w:p>
    <w:p>
      <w:pPr>
        <w:ind w:left="780"/>
      </w:pPr>
      <w:r>
        <w:t xml:space="preserve">b) aller Hauptzollämter bundesweit, wenn das Hauptzollamt Gießen als erstes mit dem Suchverfahren befasst ist,</w:t>
      </w:r>
    </w:p>
    <w:p>
      <w:pPr>
        <w:ind w:left="420"/>
      </w:pPr>
      <w:r>
        <w:t xml:space="preserve">2. die Festsetzung und die Erhebung der Kraftfahrzeugsteuer des Hauptzollamts Frankfurt am Main und des Hauptzollamts Darmstadt für den Main-Taunus-Kreis,</w:t>
      </w:r>
    </w:p>
    <w:p>
      <w:pPr>
        <w:ind w:left="420"/>
      </w:pPr>
      <w:r>
        <w:t xml:space="preserve">3. die Zollprüfungen, die Präferenzprüfungen und die Außenprüfungen, einschließlich der Überwachungsmaßnahmen, des Hauptzollamts Frankfurt am Main für die Stadtteile der Stadt Frankfurt am Main westlich der Flüsse Main und Nidda,</w:t>
      </w:r>
    </w:p>
    <w:p>
      <w:pPr>
        <w:ind w:left="420"/>
      </w:pPr>
      <w:r>
        <w:t xml:space="preserve">4. die Außenwirtschaftsprüfungen, einschließlich der Überwachungsmaßnahmen, der Hauptzollämter Darmstadt und Frankfurt am Main,</w:t>
      </w:r>
    </w:p>
    <w:p>
      <w:pPr>
        <w:ind w:left="420"/>
      </w:pPr>
      <w:r>
        <w:t xml:space="preserve">5. den Aufgabenbereich Vollstreckung der Hauptzollämter Darmstadt und Frankfurt am Main,</w:t>
      </w:r>
    </w:p>
    <w:p>
      <w:pPr>
        <w:ind w:left="420"/>
      </w:pPr>
      <w:r>
        <w:t xml:space="preserve">6. die Vollstreckung von Geldforderungen nach dem Luftverkehrsteuergesetz gegen ausländische Luftverkehrsunternehmen aller Hauptzollämter bundesweit, wenn</w:t>
      </w:r>
    </w:p>
    <w:p>
      <w:pPr>
        <w:ind w:left="780"/>
      </w:pPr>
      <w:r>
        <w:t xml:space="preserve">a) die Luftverkehrsunternehmen keinen nach § 8 des Luftverkehrsteuergesetzes zugelassenen steuerlichen Beauftragten benannt haben oder</w:t>
      </w:r>
    </w:p>
    <w:p>
      <w:pPr>
        <w:ind w:left="780"/>
      </w:pPr>
      <w:r>
        <w:t xml:space="preserve">b) eine Beitreibung der Forderungen bei ihrem steuerlichen Beauftragten erfolglos war sowie</w:t>
      </w:r>
    </w:p>
    <w:p>
      <w:pPr>
        <w:ind w:left="420"/>
      </w:pPr>
      <w:r>
        <w:t xml:space="preserve">7. die Vollstreckung und die Erzwingung von Sicherheiten wegen öffentlich-rechtlicher Geldforderungen der Bundespolizei gegen ausländische Luftverkehrsgesellschaften aller Hauptzollämter bundesweit.</w:t>
      </w:r>
    </w:p>
    <w:p>
      <w:r>
        <w:rPr>
          <w:color w:val="555555"/>
          <w:sz w:val="17"/>
        </w:rPr>
        <w:t xml:space="preserve">Zitiervorschlag: § 15 HZAZustV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https://recht.nulegal.eu/gesetze/HZAZustV%202020/15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