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HZAZustV 2019 — Hauptzollamt Rosenheim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Dem Hauptzollamt Rosenheim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der Hauptzollämter Augsburg, Landshut und München,</w:t>
      </w:r>
    </w:p>
    <w:p>
      <w:pPr>
        <w:ind w:left="780"/>
      </w:pPr>
      <w:r>
        <w:t xml:space="preserve">b) aller Hauptzollämter bundesweit, wenn das Hauptzollamt Rosenheim als erstes mit dem Suchverfahren befasst ist,</w:t>
      </w:r>
    </w:p>
    <w:p>
      <w:pPr>
        <w:ind w:left="420"/>
      </w:pPr>
      <w:r>
        <w:t xml:space="preserve">2. der Bundesfinanzverwaltung obliegende Angelegenheiten auf dem Gebiet der Milchquotenregelung der Europäischen Union des Hauptzollamts München,</w:t>
      </w:r>
    </w:p>
    <w:p>
      <w:pPr>
        <w:ind w:left="420"/>
      </w:pPr>
      <w:r>
        <w:t xml:space="preserve">3. Tätigkeiten als Ausfuhr-, Einfuhr- und Durchfuhrzollstelle des Hauptzollamts Landshut für den Landkreis Rottal-Inn,</w:t>
      </w:r>
    </w:p>
    <w:p>
      <w:pPr>
        <w:ind w:left="420"/>
      </w:pPr>
      <w:r>
        <w:t xml:space="preserve">4. die Aufgaben einer Kontrolleinheit Verkehrswege des Hauptzollamts München sowie</w:t>
      </w:r>
    </w:p>
    <w:p>
      <w:pPr>
        <w:ind w:left="420"/>
      </w:pPr>
      <w:r>
        <w:t xml:space="preserve">5. den Aufgabenbereich Vollstreckung des Hauptzollamts München für die Landkreise Fürstenfeldbruck und München sowie die Stadt München, einschließlich des Verwertungsverfahrens der Hauptzollämter Augsburg, Landshut und München, sofern nicht die in § 26 Nummer 3 genannten Städte und Gemeinden betroffen sind.</w:t>
      </w:r>
    </w:p>
    <w:p>
      <w:r>
        <w:rPr>
          <w:color w:val="555555"/>
          <w:sz w:val="17"/>
        </w:rPr>
        <w:t xml:space="preserve">Zitiervorschlag: § 36 HZAZustV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https://recht.nulegal.eu/gesetze/HZAZustV%202019/36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