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HZAZustV 2019 — Hauptzollamt Lörrach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Dem Hauptzollamt Lörrach werden die Zuständigkeiten übertragen für</w:t>
      </w:r>
    </w:p>
    <w:p>
      <w:pPr>
        <w:ind w:left="420"/>
      </w:pPr>
      <w:r>
        <w:t xml:space="preserve">1. die Bewilligung einer Gesamtsicherheit nach Artikel 95 Absatz 1 der Verordnung (EU) Nr. 952/2013 für Zollanmelder mit Sitz in der Schweiz oder Liechtenstein, die nach Artikel 110 Buchstabe b der Verordnung (EU) Nr. 952/2013 laufenden Zahlungsaufschub in Anspruch nehmen, der Hauptzollämter Singen und Ulm,</w:t>
      </w:r>
    </w:p>
    <w:p>
      <w:pPr>
        <w:ind w:left="420"/>
      </w:pPr>
      <w:r>
        <w:t xml:space="preserve">2. die Vergütung der Energiesteuer nach § 59 des Energiesteuergesetzes in Verbindung mit § 104 der Energiesteuer-Durchführungsverordnung des Hauptzollamts Singen,</w:t>
      </w:r>
    </w:p>
    <w:p>
      <w:pPr>
        <w:ind w:left="420"/>
      </w:pPr>
      <w:r>
        <w:t xml:space="preserve">3. die Zollprüfungen von Zollanmeldern mit Sitz in der Schweiz oder in Liechtenstein, die bei den Zollstellen der Hauptzollämter Lörrach, Singen und Ulm Zollanmeldungen im eigenen Namen abgegeben haben, sowie</w:t>
      </w:r>
    </w:p>
    <w:p>
      <w:pPr>
        <w:ind w:left="420"/>
      </w:pPr>
      <w:r>
        <w:t xml:space="preserve">4. den Aufgabenbereich Vollstreckung des Hauptzollamts Karlsruhe und Singen.</w:t>
      </w:r>
    </w:p>
    <w:p>
      <w:r>
        <w:rPr>
          <w:color w:val="555555"/>
          <w:sz w:val="17"/>
        </w:rPr>
        <w:t xml:space="preserve">Zitiervorschlag: § 27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