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HZAZustV 2019 — Hauptzollamt Frankfurt am Main</w:t>
      </w:r>
    </w:p>
    <w:p>
      <w:r>
        <w:rPr>
          <w:color w:val="555555"/>
          <w:sz w:val="18"/>
        </w:rPr>
        <w:t xml:space="preserve">Hauptzollamtszuständigkeitsverordnung</w:t>
      </w:r>
    </w:p>
    <w:p>
      <w:r>
        <w:rPr>
          <w:color w:val="555555"/>
          <w:sz w:val="18"/>
        </w:rPr>
        <w:t xml:space="preserve">Historische Fassung: Stand 10.06.2019 bis 02.01.2020. Dies ist nicht die aktuelle Fassung.</w:t>
      </w:r>
    </w:p>
    <w:p>
      <w:r>
        <w:t xml:space="preserve">Dem Hauptzollamt Frankfurt am Main werden die Zuständigkeiten übertragen für</w:t>
      </w:r>
    </w:p>
    <w:p>
      <w:pPr>
        <w:ind w:left="420"/>
      </w:pPr>
      <w:r>
        <w:t xml:space="preserve">1. die Vergütung der Energiesteuer nach § 59 des Energiesteuergesetzes in Verbindung mit § 104 der Energiesteuer-Durchführungsverordnung der Hauptzollämter Darmstadt und Gießen,</w:t>
      </w:r>
    </w:p>
    <w:p>
      <w:pPr>
        <w:ind w:left="420"/>
      </w:pPr>
      <w:r>
        <w:t xml:space="preserve">2. die Bewilligung von Versandvereinfachungen im Luftverkehr gemäß Artikel 233 Absatz 4 Buchstabe e der Verordnung (EU) Nr. 952/2013 des Europäischen Parlaments und des Rates vom 9. Oktober 2013 zur Festlegung des Zollkodex der Union (ABl. L 269 vom 10.10.2013, S. 1; L 287 vom 29.10.2013, S. 90; L 267 vom 30.9.2016, S. 2), die durch die Verordnung (EU) 2016/2339 (ABl. L 354 vom 23.12.2016, S. 32) geändert worden ist, in der jeweils geltenden Fassung in Verbindung mit Artikel 199 der Delegierten Verordnung (EU) 2015/2446 der Kommission vom 28. Juli 2015 zur Ergänzung der Verordnung (EU) Nr. 952/2013 des Europäischen Parlaments und des Rates mit Einzelheiten zur Präzisierung von Bestimmungen des Zollkodex der Union (ABl. L 343 vom 29.12.2015, S. 1; L 87 vom 2.4.2016, S. 35; L 264 vom 30.9.2016, S. 44; L 101 vom 13.4.2017, S. 164), die zuletzt durch die Delegierte Verordnung (EU) 2018/1118 (ABl. L 204 vom 13.8.2018, S. 11) geändert worden ist, in der jeweils geltenden Fassung und Artikel 46 in Verbindung mit Artikel 24 Absatz 1 der Delegierten Verordnung (EU) 2016/341 der Kommission vom 17. Dezember 2015 zur Ergänzung der Verordnung (EU) Nr. 952/2013 des Europäischen Parlaments und des Rates hinsichtlich der Übergangsbestimmungen für bestimmte Vorschriften des Zollkodex der Union, für den Fall, dass die entsprechenden elektronischen Systeme noch nicht betriebsbereit sind, und zur Änderung der Delegierten Verordnung (EU) 2015/2446 (ABl. L 69 vom 15.3.2016, S. 1; L 101 vom 16.4.2016, S. 33; L 101 vom 13.4.2017, S. 177; L 281 vom 31.10.2017, S. 34) in der jeweils geltenden Fassung aller Hauptzollämter bundesweit sowie</w:t>
      </w:r>
    </w:p>
    <w:p>
      <w:pPr>
        <w:ind w:left="420"/>
      </w:pPr>
      <w:r>
        <w:t xml:space="preserve">3. die Straf- und Bußgeldsachen des Hauptzollamts Gießen.</w:t>
      </w:r>
    </w:p>
    <w:p>
      <w:r>
        <w:rPr>
          <w:color w:val="555555"/>
          <w:sz w:val="17"/>
        </w:rPr>
        <w:t xml:space="preserve">Zitiervorschlag: § 13 HZAZustV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https://recht.nulegal.eu/gesetze/HZAZustV%202019/13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HZAZustV 2019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