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HWirtMeistPrV — Anrechnung anderer Prüfungsleistungen</w:t>
      </w:r>
    </w:p>
    <w:p>
      <w:r>
        <w:rPr>
          <w:color w:val="555555"/>
          <w:sz w:val="18"/>
        </w:rPr>
        <w:t xml:space="preserve">Verordnung über die Anforderungen in der Meisterprüfung für den Beruf Hauswirtschafter/Hauswirtschafterin</w:t>
      </w:r>
    </w:p>
    <w:p>
      <w:r>
        <w:rPr>
          <w:color w:val="555555"/>
          <w:sz w:val="18"/>
        </w:rPr>
        <w:t xml:space="preserve">Stand: 10.06.2019 (konsolidierte Textfassung, kein amtliches Inkrafttretensdatum)</w:t>
      </w:r>
    </w:p>
    <w:p>
      <w:r>
        <w:t xml:space="preserve">(1) Auf Antrag kann die zuständige Stelle den Prüfling von der Ablegung einzelner Prüfungsleistungen gemäß § 4 Abs. 3 und § 5 Abs. 3 befreien, wenn in den letzten fünf Jahren vor Antragstellung vor einer zuständigen Stelle, einer öffentlichen oder staatlich anerkannten Bildungseinrichtung oder vor einem staatlichen Prüfungsausschuss eine Prüfung mit Erfolg abgelegt wurde, die den Anforderungen der entsprechenden Prüfungsinhalte nach dieser Verordnung entspricht. Eine Freistellung vom Arbeitsprojekt gemäß § 4 Abs. 4 und von der Situationsaufgabe gemäß § 5 Abs. 4 ist nicht zulässig.</w:t>
      </w:r>
    </w:p>
    <w:p>
      <w:r>
        <w:t xml:space="preserve">(2) Von der Prüfung im Teil "Berufsausbildung und Mitarbeiterführung" ist der Prüfling auf Antrag von der zuständigen Stelle freizustellen, wenn er eine auf Grund des Berufsbildungsgesetzes oder der Handwerksordnung geregelte Prüfung bestanden hat, deren Inhalt den in den §§ 2 und 3 der Ausbilder-Eignungsverordnung nach dem Berufsbildungsgesetz genannten Anforderungen entspricht. Wer eine sonstige staatliche, staatlich anerkannte oder von einer öffentlich-rechtlichen Körperschaft abgenommene Prüfung bestanden hat, deren Inhalt den in den §§ 2 und 3 der Ausbilder-Eignungsverordnung genannten Anforderungen entspricht, kann auf Antrag von der zuständigen Stelle von der Prüfung im Teil "Berufsausbildung und Mitarbeiterführung" befreit werden.</w:t>
      </w:r>
    </w:p>
    <w:p>
      <w:r>
        <w:rPr>
          <w:color w:val="555555"/>
          <w:sz w:val="17"/>
        </w:rPr>
        <w:t xml:space="preserve">Zitiervorschlag: § 7 HWirtMeistPrV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https://recht.nulegal.eu/gesetze/HWirtMeistPrV/7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HWirtMeistPrV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