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HWVO NRW (Nordrhein-Westfalen) — Buchführung und Gegenstandsverzeichnis</w:t>
      </w:r>
    </w:p>
    <w:p>
      <w:r>
        <w:rPr>
          <w:color w:val="555555"/>
          <w:sz w:val="18"/>
        </w:rPr>
        <w:t xml:space="preserve">Haushalts- und Wirtschaftsführungs-Verordnung der Studierendenschaften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die Zahlungen ist sowohl nach der Zeitfolge als auch nach der im Haushaltsplan vorgesehenen Ordnung Buch zu führen. Die nach § 18 Abs. 1 angenommenen Beträge, die einem Titel noch nicht zugeordnet werden können, sowie Kassenverstärkungskredite sind als Verwahrungen nachzuweisen. Die Zahlungen sind für das Haushaltsjahr zu buchen, in dem sie eingegangen oder geleistet worden sind.</w:t>
      </w:r>
    </w:p>
    <w:p>
      <w:r>
        <w:t xml:space="preserve">(2) Die Kassenanordnungen sind nach Titeln getrennt fortlaufend zu nummerieren und in der Reihenfolge der Buchungen zu ordnen.</w:t>
      </w:r>
    </w:p>
    <w:p>
      <w:r>
        <w:t xml:space="preserve">(3) Bleibt am Ende des Haushaltsjahres der Gesamtbetrag der Einnahmen hinter dem Gesamtbetrag der Ausgaben zurück, so ist der Fehlbetrag im nächsten Haushaltsjahr als Ausgabe nachzuweisen. Ein Überschuss ist im nächsten Haushaltsjahr als Einnahme zu buchen.</w:t>
      </w:r>
    </w:p>
    <w:p>
      <w:r>
        <w:t xml:space="preserve">(4) In einem Gegenstandsverzeichnis sind Gegenstände mit einer Lebensdauer von mehr als einem Jahr nachzuweisen, sofern ihr Wert einen vom Studierendenparlament festgelegten Wert überschreitet. Dieser Betrag darf nicht über dem vom Steuerrecht festgelegten Wert für geringwertige Wirtschaftsgüter liegen.</w:t>
      </w:r>
    </w:p>
    <w:p>
      <w:r>
        <w:rPr>
          <w:color w:val="555555"/>
          <w:sz w:val="17"/>
        </w:rPr>
        <w:t xml:space="preserve">Zitiervorschlag: § 21 HWVO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https://recht.nulegal.eu/gesetze/HWVO%20NRW/21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