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HWVO NRW (Nordrhein-Westfalen) — Kreditaufnahme</w:t>
      </w:r>
    </w:p>
    <w:p>
      <w:r>
        <w:rPr>
          <w:color w:val="555555"/>
          <w:sz w:val="18"/>
        </w:rPr>
        <w:t xml:space="preserve">Haushalts- und Wirtschaftsführungs-Verordnung der Studierendenschaften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Kassenverstärkungskredite dürfen bis zur Höhe von einem Zwölftel der im Haushaltsplan veranschlagten Einnahmen, höchstens jedoch bis zum Betrag von 25.000 Euro in Anspruch genommen werden. Das Studierendenparlament kann im Beschluss über die Feststellung des Haushaltsplans eine niedrigere Höchstgrenze festlegen.</w:t>
      </w:r>
    </w:p>
    <w:p>
      <w:r>
        <w:t xml:space="preserve">(2) Für die Beschaffung von Vermögensgegenständen, für die eine Rücklage nach § 12 Abs. 3 Nr. 1 nicht in dem benötigten Umfang angesammelt worden ist und die aus Mitteln des Haushalts nicht bestritten werden können, dürfen Kredite nur dann aufgenommen werden, wenn</w:t>
      </w:r>
    </w:p>
    <w:p>
      <w:r>
        <w:t xml:space="preserve">1. das Studierendenparlament der Kreditaufnahme mit der Mehrheit seiner Mitglieder zugestimmt hat und</w:t>
      </w:r>
    </w:p>
    <w:p>
      <w:r>
        <w:t xml:space="preserve">2. die Summe der Kreditverpflichtungen für Beschaffungen die Höchstgrenzen nach Absatz 1 nicht übersteigt.</w:t>
      </w:r>
    </w:p>
    <w:p>
      <w:r>
        <w:t xml:space="preserve">(3) Andere Kredite dürfen nicht aufgenommen werden.</w:t>
      </w:r>
    </w:p>
    <w:p>
      <w:r>
        <w:t xml:space="preserve">(4) Bürgschaften oder Verpflichtungen in Garantie- oder ähnlichen Verträgen dürfen nicht übernommen werden. Das Studierendenparlament kann im Rahmen der gesetzlichen Aufgaben der Studierendenschaft mit der Mehrheit seiner Mitglieder zur Abwendung einer Mitgliedern der Studierendenschaft drohenden oder eingetretenen Notlage die Übernahme von Bürgschaften beschließen, wenn die Satzung der Studierendenschaft dies vorsieht.</w:t>
      </w:r>
    </w:p>
    <w:p>
      <w:r>
        <w:rPr>
          <w:color w:val="555555"/>
          <w:sz w:val="17"/>
        </w:rPr>
        <w:t xml:space="preserve">Zitiervorschlag: § 13 HWVO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https://recht.nulegal.eu/gesetze/HWVO%20NRW/13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