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HWNAVO (Sachsen) — Hochwassermeldeordnung</w:t>
      </w:r>
    </w:p>
    <w:p>
      <w:r>
        <w:rPr>
          <w:color w:val="555555"/>
          <w:sz w:val="18"/>
        </w:rPr>
        <w:t xml:space="preserve">Verordnung des Sächsischen Staatsministeriums für Umwelt und Landwirtschaft über den Hochwassernachrichten- und Alarmdienst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Einzelheiten des Hochwassernachrichten- und Alarmdienstes werden in einer Verwaltungsvorschrift (Hochwassermeldeordnung) geregelt, insbesondere:</w:t>
      </w:r>
    </w:p>
    <w:p>
      <w:r>
        <w:t xml:space="preserve">1. der Beginn und das Ende des Hochwassernachrichten- und Alarmdienstes nach § 2 Nummer 1;</w:t>
      </w:r>
    </w:p>
    <w:p>
      <w:r>
        <w:t xml:space="preserve">2. die räumliche Abgrenzung der Fluss- und Warngebiete nach § 2 Nummer 3 und 4;</w:t>
      </w:r>
    </w:p>
    <w:p>
      <w:r>
        <w:t xml:space="preserve">3. das Format und die Gestaltung sowie die Art und Weise der Zustellung der Hochwassernachrichten nach § 2 Nummer 6;</w:t>
      </w:r>
    </w:p>
    <w:p>
      <w:r>
        <w:t xml:space="preserve">4. die Zustellungspläne nach § 3 Absatz 2 Nummer 2 zur Übermittlung der Hochwassernachrichten an die Teilnehmer nach § 2 Nummer 10 und die Dritten nach § 2 Nummer 11;</w:t>
      </w:r>
    </w:p>
    <w:p>
      <w:r>
        <w:t xml:space="preserve">5. das Verzeichnis der Hochwassermeldepegel mit den Richtwasserständen der Alarmstufen und den zugehörigen Gewässerabschnitten, für die die Alarmstufen nach § 4 Absatz 1 gelten;</w:t>
      </w:r>
    </w:p>
    <w:p>
      <w:r>
        <w:t xml:space="preserve">6. die Einzelheiten der Ausrufung und Aufhebung der Alarmstufen nach § 4 Absatz 2 und 3;</w:t>
      </w:r>
    </w:p>
    <w:p>
      <w:r>
        <w:t xml:space="preserve">7. die üblicherweise mit der Ausrufung der Alarmstufen nach § 4 Absatz 2 verbundenen Maßnahmen;</w:t>
      </w:r>
    </w:p>
    <w:p>
      <w:r>
        <w:t xml:space="preserve">8. die Bestimmung der für den Hochwassernachrichten- und Alarmdienst relevanten Stauanlagen nach § 3 Absatz 4 Nummer 1 sowie der Stauanlagen und Unternehmen nach § 7 Absatz 4 Satz 1, einschließlich Regelungen über die Information von Teilnehmern und Dritten nach § 3 Absatz 4 Nummer 3 und § 7 Absatz 4 Satz 2;</w:t>
      </w:r>
    </w:p>
    <w:p>
      <w:r>
        <w:t xml:space="preserve">9. die der Öffentlichkeit zugänglichen Informationsquellen nach § 8 Absatz 1;</w:t>
      </w:r>
    </w:p>
    <w:p>
      <w:r>
        <w:t xml:space="preserve">10. den Inhalt und den Aufbau der internetgestützten Informationsplattform nach § 8 Absatz 2.</w:t>
      </w:r>
    </w:p>
    <w:p>
      <w:r>
        <w:t xml:space="preserve">(2) Die Hochwassermeldeordnung kann vorsehen, dass die Angaben nach Absatz 1 Nummer 2 bis 5, 8 und 9 ausschließlich auf der Informationsplattform des Landeshochwasserzentrums nach § 8 Absatz 2 veröffentlicht werden.</w:t>
      </w:r>
    </w:p>
    <w:p>
      <w:r>
        <w:rPr>
          <w:color w:val="555555"/>
          <w:sz w:val="17"/>
        </w:rPr>
        <w:t xml:space="preserve">Zitiervorschlag: § 9 HWNAVO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https://recht.nulegal.eu/gesetze/HWNAVO/9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