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HWNAVO (Sachsen) — Einrichtung eines Hochwassernachrichten- und Alarmdienstes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Freistaat Sachsen wird für folgende Flussgebiete ein Hochwassernachrichten- und Alarmdienst eingerichtet:</w:t>
      </w:r>
    </w:p>
    <w:p>
      <w:r>
        <w:t xml:space="preserve">1. Elbestrom;</w:t>
      </w:r>
    </w:p>
    <w:p>
      <w:r>
        <w:t xml:space="preserve">2. Nebenflüsse der Oberen Elbe;</w:t>
      </w:r>
    </w:p>
    <w:p>
      <w:r>
        <w:t xml:space="preserve">3. Nebenflüsse der Mittleren Elbe mit Ketzerbach;</w:t>
      </w:r>
    </w:p>
    <w:p>
      <w:r>
        <w:t xml:space="preserve">4. Schwarze Elster und ihre Nebenflüsse;</w:t>
      </w:r>
    </w:p>
    <w:p>
      <w:r>
        <w:t xml:space="preserve">5. Mulden und ihre Nebenflüsse sowie Zwota;</w:t>
      </w:r>
    </w:p>
    <w:p>
      <w:r>
        <w:t xml:space="preserve">6. Obere Weiße Elster und ihre Nebenflüsse sowie obere Pleiße;</w:t>
      </w:r>
    </w:p>
    <w:p>
      <w:r>
        <w:t xml:space="preserve">7. Untere Weiße Elster und ihre Nebenflüsse;</w:t>
      </w:r>
    </w:p>
    <w:p>
      <w:r>
        <w:t xml:space="preserve">8. Spree und ihre Nebenflüsse;</w:t>
      </w:r>
    </w:p>
    <w:p>
      <w:r>
        <w:t xml:space="preserve">9. Lausitzer Neiße und ihre Nebenflüsse.</w:t>
      </w:r>
    </w:p>
    <w:p>
      <w:r>
        <w:t xml:space="preserve">(2) Einzugsgebiete von Fließgewässern, die hydrologisch keinem der Flussgebiete nach Absatz 1 zugeordnet werden können, werden einem benachbarten, hydrologisch vergleichbar reagierenden Flussgebiet nach Absatz 1 zugeordnet.</w:t>
      </w:r>
    </w:p>
    <w:p>
      <w:r>
        <w:t xml:space="preserve">(3) Die Flussgebiete nach Absatz 1 werden nach § 9 Absatz 1 Nummer 2 in Warngebiete untergliedert, welche nach hydrologischen und administrativen Kriterien so abzugrenzen sind, dass eine effektive Durchführung des Hochwassernachrichten- und Alarmdienstes gewährleistet ist.</w:t>
      </w:r>
    </w:p>
    <w:p>
      <w:r>
        <w:t xml:space="preserve">(4) Aus der Einrichtung des Hochwassernachrichten- und Alarmdienstes können Dritte keine Ansprüche herleiten, auch soweit sie Teilnehmer nach § 2 Nummer 10 Buchstabe b oder c sind. Insbesondere entbindet die Einrichtung des Hochwassernachrichten- und Alarmdienstes Teilnehmer und Dritte nicht von ihrer Pflicht zur Eigenvorsorge nach § 5 Absatz 2 des Wasserhaushaltsgesetzes vom 31. Juli 2009 (BGBl. I S. 2585), das zuletzt durch Artikel 320 der Verordnung vom 31. August 2015 (BGBl. I S. 1474) geändert worden ist, in der jeweils geltenden Fassung, insbesondere nicht von der Pflicht, sich selbstständig über Hochwassergefahren zu informieren.</w:t>
      </w:r>
    </w:p>
    <w:p>
      <w:r>
        <w:rPr>
          <w:color w:val="555555"/>
          <w:sz w:val="17"/>
        </w:rPr>
        <w:t xml:space="preserve">Zitiervorschlag: § 1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