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HWMDV (Brandenburg) — Beginn und Ende des Hochwassermeldedienstes</w:t>
      </w:r>
    </w:p>
    <w:p>
      <w:r>
        <w:rPr>
          <w:color w:val="555555"/>
          <w:sz w:val="18"/>
        </w:rPr>
        <w:t xml:space="preserve">Hochwassermeldedienstverordnung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Hochwassermeldedienst beginnt mit der Herausgabe einer Hochwasserwarnung oder mit Überschreiten des Wasserstandes für den Meldebeginn an einem Hochwassermeldepegel, wenn ein weiterer Wasserstandsanstieg zu erwarten ist.</w:t>
      </w:r>
    </w:p>
    <w:p>
      <w:r>
        <w:t xml:space="preserve">(2) Der Hochwassermeldedienst endet, sobald zu erkennen ist, dass der Richtwasserstand für die Alarmstufe II nach § 9 nicht erreicht oder wieder unterschritten wird oder wenn der Wasserstand für das Meldeende unterschritten wird und ein erneutes Ansteigen des Wasserstandes nicht zu erwarten ist.</w:t>
      </w:r>
    </w:p>
    <w:p>
      <w:r>
        <w:rPr>
          <w:color w:val="555555"/>
          <w:sz w:val="17"/>
        </w:rPr>
        <w:t xml:space="preserve">Zitiervorschlag: § 7 HWMDV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https://recht.nulegal.eu/gesetze/HWMDV/7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