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HWMDV (Brandenburg) — Hochwassermeldeordnung</w:t>
      </w:r>
    </w:p>
    <w:p>
      <w:r>
        <w:rPr>
          <w:color w:val="555555"/>
          <w:sz w:val="18"/>
        </w:rPr>
        <w:t xml:space="preserve">Hochwassermeldedienstverordnung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oberste Wasserbehörde regelt die Einzelheiten des Vollzuges dieser Verordnung, insbesondere Hochwassermeldeordnungen für die einzelnen Hochwassermeldegewässer in einer Verwaltungsvorschrift.</w:t>
      </w:r>
    </w:p>
    <w:p>
      <w:r>
        <w:t xml:space="preserve">(2) Die Hochwassermeldeordnungen beinhalten insbesondere das Verzeichnis der Hochwassermeldepegel mit Festlegung der Richtwasserstände für die Alarmstufen sowie die Festlegungen zum Meldebeginn und -ende.</w:t>
      </w:r>
    </w:p>
    <w:p>
      <w:r>
        <w:rPr>
          <w:color w:val="555555"/>
          <w:sz w:val="17"/>
        </w:rPr>
        <w:t xml:space="preserve">Zitiervorschlag: § 5 HWMDV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https://recht.nulegal.eu/gesetze/HWMDV/5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