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HWMDV (Brandenburg) — Kostentragung</w:t>
      </w:r>
    </w:p>
    <w:p>
      <w:r>
        <w:rPr>
          <w:color w:val="555555"/>
          <w:sz w:val="18"/>
        </w:rPr>
        <w:t xml:space="preserve">Hochwassermeldedienstverordnung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Teilnehmenden am Hochwassermeldedienst tragen die ihnen entstandenen Kosten entsprechend ihrer Aufgaben selbst.</w:t>
      </w:r>
    </w:p>
    <w:p>
      <w:r>
        <w:t xml:space="preserve">(2) Die notwendigen Kosten für Mitteilungen der Gewässerunterhaltungsverbände nach § 8 Absatz 2 für die in der Verordnung nach § 3 Absatz 2 des Brandenburgischen Wassergesetzes festgelegten Gewässer I. Ordnung trägt das Land.</w:t>
      </w:r>
    </w:p>
    <w:p>
      <w:r>
        <w:rPr>
          <w:color w:val="555555"/>
          <w:sz w:val="17"/>
        </w:rPr>
        <w:t xml:space="preserve">Zitiervorschlag: § 10 HWMDV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https://recht.nulegal.eu/gesetze/HWMDV/10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