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HWMDV (Brandenburg) — Geltungsbereich</w:t>
      </w:r>
    </w:p>
    <w:p>
      <w:r>
        <w:rPr>
          <w:color w:val="555555"/>
          <w:sz w:val="18"/>
        </w:rPr>
        <w:t xml:space="preserve">Hochwassermeldedienstverordnung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den Hochwassermeldedienst im Land Brandenburg.</w:t>
      </w:r>
    </w:p>
    <w:p>
      <w:r>
        <w:rPr>
          <w:color w:val="555555"/>
          <w:sz w:val="17"/>
        </w:rPr>
        <w:t xml:space="preserve">Zitiervorschlag: § 1 HWMDV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https://recht.nulegal.eu/gesetze/HWMDV/1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