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HWKraftStAbV2021 — Abgrenzung der Steuerpflicht bei zweckfremder Benutzung oder zweckwidriger Verwendung von begünstigten Fahrzeugen</w:t>
      </w:r>
    </w:p>
    <w:p>
      <w:r>
        <w:rPr>
          <w:color w:val="555555"/>
          <w:sz w:val="18"/>
        </w:rPr>
        <w:t xml:space="preserve">Hochwasser-Kraftfahrzeugsteuer-Abgrenzungsverordnung 2021</w:t>
      </w:r>
    </w:p>
    <w:p>
      <w:r>
        <w:rPr>
          <w:color w:val="555555"/>
          <w:sz w:val="18"/>
        </w:rPr>
        <w:t xml:space="preserve">Historische Fassung: Stand 01.09.2021 bis 01.01.2022. Dies ist nicht die aktuelle Fassung.</w:t>
      </w:r>
    </w:p>
    <w:p>
      <w:r>
        <w:t xml:space="preserve">(1) Zur Vermeidung unbilliger Härten in der durch die Hochwasserkatastrophe im Juli 2021 ausgelösten Ausnahmesituation werden</w:t>
      </w:r>
    </w:p>
    <w:p>
      <w:pPr>
        <w:ind w:left="420"/>
      </w:pPr>
      <w:r>
        <w:t xml:space="preserve">1. Fahrzeuge, deren Halten nach § 3 Nummer 2 bis 5 und 7 bis 9, § 3a Absatz 1 und 2 sowie § 17 des Gesetzes von der Steuer befreit oder ermäßigt besteuert ist, nicht deshalb nach § 5 Absatz 2 Satz 4 des Gesetzes zweckfremd benutzt, weil sie im Einzelfall zu anderen als steuerbegünstigten Zwecken verwendet werden, und</w:t>
      </w:r>
    </w:p>
    <w:p>
      <w:pPr>
        <w:ind w:left="420"/>
      </w:pPr>
      <w:r>
        <w:t xml:space="preserve">2. Kraftfahrzeuganhänger, für die nach § 10 Absatz 1 des Gesetzes keine Steuer erhoben wird, nicht deshalb nach § 10 Absatz 4 des Gesetzes zweckwidrig verwendet, weil sie hinter anderen als den mit Anhängerzuschlag besteuerten zulässigen Kraftfahrzeugen verwendet werden,</w:t>
      </w:r>
    </w:p>
    <w:p>
      <w:r>
        <w:t xml:space="preserve">sofern die konkrete Benutzung oder Verwendung in unmittelbarem Zusammenhang mit der Beseitigung der Folgen der Hochwasserkatastrophe steht.</w:t>
      </w:r>
    </w:p>
    <w:p>
      <w:r>
        <w:t xml:space="preserve">(2) Die Abgrenzung der Steuerpflicht nach Absatz 1 Nummer 1 gilt nicht, wenn die zweckfremde Benutzung von begünstigten Fahrzeugen einer selbständigen nachhaltigen Betätigung mit der Absicht, Gewinn zu erzielen, dient.</w:t>
      </w:r>
    </w:p>
    <w:p>
      <w:r>
        <w:rPr>
          <w:color w:val="555555"/>
          <w:sz w:val="17"/>
        </w:rPr>
        <w:t xml:space="preserve">Zitiervorschlag: § 1 HWKraftStAbV2021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https://recht.nulegal.eu/gesetze/HWKraftStAbV2021/1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