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HUrlV 2002 — Reisetage</w:t>
      </w:r>
    </w:p>
    <w:p>
      <w:r>
        <w:rPr>
          <w:color w:val="555555"/>
          <w:sz w:val="18"/>
        </w:rPr>
        <w:t xml:space="preserve">Heimaturlaubsverordnung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Reise von einem Dienstort außerhalb Europas ins Inland werden neben dem Zusatzurlaub nach § 1 einmal jährlich zusätzliche Urlaubstage (Reisetage) gewährt. Sie betragen pro angefangene sechs Stunden durchschnittlich erforderlicher Reisezeit jeweils für die Hin- und für die Rückreise einen halben Tag, höchstens jedoch sechs Arbeitstage.</w:t>
      </w:r>
    </w:p>
    <w:p>
      <w:r>
        <w:t xml:space="preserve">(2) Reisetage werden für jedes Urlaubsjahr nur einmal gewährt. Sie verfallen mit dem Erholungsurlaub.</w:t>
      </w:r>
    </w:p>
    <w:p>
      <w:r>
        <w:rPr>
          <w:color w:val="555555"/>
          <w:sz w:val="17"/>
        </w:rPr>
        <w:t xml:space="preserve">Zitiervorschlag: § 3 HUrlV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https://recht.nulegal.eu/gesetze/HUrlV%202002/3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