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HUnterrV (Bayern)</w:t>
      </w:r>
    </w:p>
    <w:p>
      <w:r>
        <w:rPr>
          <w:color w:val="555555"/>
          <w:sz w:val="18"/>
        </w:rPr>
        <w:t xml:space="preserve">Hausunterrichtsverordnung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 Abs. 6 des Bayerischen Gesetzes über das Erziehungs- und Unterrichtswesen erläßt das Bayerische Staatsministerium für Unterricht und Kultus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HUnterrV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https://recht.nulegal.eu/gesetze/HUnterrV/eingangsformel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