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HUnterrV (Bayern) — Aufgaben des Hausunterrichts</w:t>
      </w:r>
    </w:p>
    <w:p>
      <w:r>
        <w:rPr>
          <w:color w:val="555555"/>
          <w:sz w:val="18"/>
        </w:rPr>
        <w:t xml:space="preserve">Hausunterrichtsverordnung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Unterricht soll den Bildungsauftrag der Schule unter Berücksichtigung der Krankheit oder der die Unterbringung nach § 1 Abs. 1 Nr. 3 begründenden Umstände sowie der mangelnden Schulbesuchsfähigkeit erfüllen, den Anschluß an die Schulausbildung ermöglichen, die Wiedereingliederung in den normalen Schulbetrieb vorbereiten, von der Krankheit ablenken und den Willen zur Genesung stärken.</w:t>
      </w:r>
    </w:p>
    <w:p>
      <w:r>
        <w:t xml:space="preserve">(2) Ist wegen der Krankheit oder eines sonderpädagogischen Förderbedarfs, insbesondere im Förderschwerpunkt emotionale und soziale Entwicklung, die Änderung der Schullaufbahn vorgesehen, soll der Hausunterricht darauf vorbereiten.</w:t>
      </w:r>
    </w:p>
    <w:p>
      <w:r>
        <w:rPr>
          <w:color w:val="555555"/>
          <w:sz w:val="17"/>
        </w:rPr>
        <w:t xml:space="preserve">Zitiervorschlag: § 2 HUnterrV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https://recht.nulegal.eu/gesetze/HUnterrV/2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