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HUnterrV (Bayern) — Inkrafttreten</w:t>
      </w:r>
    </w:p>
    <w:p>
      <w:r>
        <w:rPr>
          <w:color w:val="555555"/>
          <w:sz w:val="18"/>
        </w:rPr>
        <w:t xml:space="preserve">Hausunterrichtsverordnung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September 1989 in Kraft.</w:t>
      </w:r>
    </w:p>
    <w:p>
      <w:r>
        <w:rPr>
          <w:color w:val="555555"/>
          <w:sz w:val="17"/>
        </w:rPr>
        <w:t xml:space="preserve">Zitiervorschlag: § 12 HUnterrV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https://recht.nulegal.eu/gesetze/HUnterrV/12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