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23 § 2 HStruktG</w:t>
      </w:r>
    </w:p>
    <w:p>
      <w:r>
        <w:rPr>
          <w:color w:val="555555"/>
          <w:sz w:val="18"/>
        </w:rPr>
        <w:t xml:space="preserve">Haushaltsstrukturgesetz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§ 1 gilt nicht für Arbeitnehmer,</w:t>
      </w:r>
    </w:p>
    <w:p>
      <w:pPr>
        <w:ind w:left="420"/>
      </w:pPr>
      <w:r>
        <w:t xml:space="preserve">1. deren Arbeitsverhältnis vor dem 1. Oktober 1975 gekündigt worden ist oder vor dem 1. Januar 1976 endet oder</w:t>
      </w:r>
    </w:p>
    <w:p>
      <w:pPr>
        <w:ind w:left="420"/>
      </w:pPr>
      <w:r>
        <w:t xml:space="preserve">2. die aus Anlaß einer Stillegungsmaßnahme entlassen werden, die vor dem 1. Oktober 1975 begonnen worden ist.</w:t>
      </w:r>
    </w:p>
    <w:p>
      <w:r>
        <w:t xml:space="preserve">Eine Stillegungsmaßnahme gilt als begonnen, wenn auf Grund eines von dem Arbeitgeber gefaßten Stillegungsbeschlusses wesentliche, auf die Durchführung dieses Beschlusses gerichtete Maßnahmen rechtlicher, technischer oder organisatorischer Art getroffen worden sind.</w:t>
      </w:r>
    </w:p>
    <w:p>
      <w:r>
        <w:rPr>
          <w:color w:val="555555"/>
          <w:sz w:val="17"/>
        </w:rPr>
        <w:t xml:space="preserve">Zitiervorschlag: Art 23 § 2 HStruktG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https://recht.nulegal.eu/gesetze/HStruktG/23-2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