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§ 4 HStruktG</w:t>
      </w:r>
    </w:p>
    <w:p>
      <w:r>
        <w:rPr>
          <w:color w:val="555555"/>
          <w:sz w:val="18"/>
        </w:rPr>
        <w:t xml:space="preserve">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bei Inkrafttreten dieses Gesetzes vorhandenen Versorgungsempfänger bleiben der Ruhegehaltssatz und das den ruhegehaltfähigen Dienstbezügen zugrunde liegende Grundgehalt unberührt.</w:t>
      </w:r>
    </w:p>
    <w:p>
      <w:r>
        <w:rPr>
          <w:color w:val="555555"/>
          <w:sz w:val="17"/>
        </w:rPr>
        <w:t xml:space="preserve">Zitiervorschlag: Art 10 § 4 HStruktG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https://recht.nulegal.eu/gesetze/HStruktG/10-4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