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 § 3 HStruktG</w:t>
      </w:r>
    </w:p>
    <w:p>
      <w:r>
        <w:rPr>
          <w:color w:val="555555"/>
          <w:sz w:val="18"/>
        </w:rPr>
        <w:t xml:space="preserve">Haushaltsstrukturgesetz</w:t>
      </w:r>
    </w:p>
    <w:p>
      <w:r>
        <w:rPr>
          <w:color w:val="555555"/>
          <w:sz w:val="18"/>
        </w:rPr>
        <w:t xml:space="preserve">Stand: 10.06.2019 (konsolidierte Textfassung, kein amtliches Inkrafttretensdatum)</w:t>
      </w:r>
    </w:p>
    <w:p>
      <w:r>
        <w:t xml:space="preserve">(1) Für Soldaten auf Zeit, deren Anspruch auf Fachausbildung sich nach § 5 Abs. 5 Satz 2 des Soldatenversorgungsgesetzes in der Fassung des Artikels 10 § 1 Nr. 3 des Haushaltsstrukturgesetzes bestimmt und deren Dienstverhältnis vor dem 1. Januar 1976 geendet hat, gilt § 11 Abs. 2 Nr. 4 des Soldatenversorgungsgesetzes in der vor Inkrafttreten dieses Gesetzes geltenden Fassung.</w:t>
      </w:r>
    </w:p>
    <w:p>
      <w:r>
        <w:t xml:space="preserve">(2) Für Soldaten auf Zeit, die auf Grund einer vor dem 11. September 1975 abgegebenen Verpflichtungserklärung in das Dienstverhältnis eines Soldaten auf Zeit berufen worden sind oder die auf Grund einer vor diesem Zeitpunkt abgegebenen Weiterverpflichtungserklärung im Dienstverhältnis eines Soldaten auf Zeit verblieben sind, gilt § 12 Abs. 2 und 3 des Soldatenversorgungsgesetzes in der vor dem Inkrafttreten dieses Gesetzes geltenden Fassung. Bei einer Weiterverpflichtung nach dem 10. September 1975 ist § 12 Abs. 2 des Soldatenversorgungsgesetzes mit der Maßgabe anzuwenden, daß die Übergangsbeihilfe mindestens aus dem Mehrfachen zu berechnen ist, das für die Wehrdienstzeit vor der Weiterverpflichtung maßgebend war.</w:t>
      </w:r>
    </w:p>
    <w:p>
      <w:r>
        <w:rPr>
          <w:color w:val="555555"/>
          <w:sz w:val="17"/>
        </w:rPr>
        <w:t xml:space="preserve">Zitiervorschlag: Art 10 § 3 HStruktG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https://recht.nulegal.eu/gesetze/HStruktG/10-3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