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2 HStruktG</w:t>
      </w:r>
    </w:p>
    <w:p>
      <w:r>
        <w:rPr>
          <w:color w:val="555555"/>
          <w:sz w:val="18"/>
        </w:rPr>
        <w:t xml:space="preserve">Haushaltsstrukturgesetz</w:t>
      </w:r>
    </w:p>
    <w:p>
      <w:r>
        <w:rPr>
          <w:color w:val="555555"/>
          <w:sz w:val="18"/>
        </w:rPr>
        <w:t xml:space="preserve">Stand: 10.06.2019 (konsolidierte Textfassung, kein amtliches Inkrafttretensdatum)</w:t>
      </w:r>
    </w:p>
    <w:p>
      <w:r>
        <w:t xml:space="preserve">(1) Für Soldaten auf Zeit, die sich vor dem 1. Januar 1976 verpflichtet haben, ist § 3 des Bundesbesoldungsgesetzes in der bisherigen Fassung weiter anzuwenden.</w:t>
      </w:r>
    </w:p>
    <w:p>
      <w:r>
        <w:t xml:space="preserve">(2) Für ledige Beamte, Richter und Soldaten, die vor dem 1. Januar 1976 das vierzigste Lebensjahr vollendet haben, ist § 40 Abs. 2 Nr. 3 des Bundesbesoldungsgesetzes in der bisherigen Fassung weiter anzuwenden.</w:t>
      </w:r>
    </w:p>
    <w:p>
      <w:r>
        <w:t xml:space="preserve">(3) Für Beamte, Richter und Soldaten, die vor dem 1. Januar 1976 das vierzigste Lebensjahr vollendet haben und deren Ehe vor dem 1. Januar 1976 geschieden, aufgehoben oder für nichtig erklärt worden ist, findet § 40 Abs. 2 Nr. 2 des Bundesbesoldungsgesetzes in der bisherigen Fassung weiter Anwendung.</w:t>
      </w:r>
    </w:p>
    <w:p>
      <w:r>
        <w:rPr>
          <w:color w:val="555555"/>
          <w:sz w:val="17"/>
        </w:rPr>
        <w:t xml:space="preserve">Zitiervorschlag: Art 1 § 2 HStruktG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https://recht.nulegal.eu/gesetze/HStruktG/1-2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